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0078DE">
      <w:pPr>
        <w:jc w:val="center"/>
        <w:rPr>
          <w:rFonts w:ascii="Times New Roman" w:hAnsi="Times New Roman" w:eastAsia="方正小标宋简体"/>
          <w:sz w:val="44"/>
          <w:szCs w:val="44"/>
        </w:rPr>
      </w:pPr>
    </w:p>
    <w:p w14:paraId="736E923B">
      <w:pPr>
        <w:jc w:val="center"/>
        <w:rPr>
          <w:rFonts w:ascii="Times New Roman" w:hAnsi="Times New Roman" w:eastAsia="方正小标宋简体"/>
          <w:sz w:val="44"/>
          <w:szCs w:val="44"/>
        </w:rPr>
      </w:pPr>
    </w:p>
    <w:p w14:paraId="5AD67CB3">
      <w:pPr>
        <w:jc w:val="center"/>
        <w:rPr>
          <w:rFonts w:ascii="Times New Roman" w:hAnsi="Times New Roman" w:eastAsia="方正小标宋简体"/>
          <w:sz w:val="44"/>
          <w:szCs w:val="44"/>
        </w:rPr>
      </w:pPr>
    </w:p>
    <w:p w14:paraId="530F45BD">
      <w:pPr>
        <w:jc w:val="center"/>
        <w:rPr>
          <w:rFonts w:ascii="Times New Roman" w:hAnsi="Times New Roman" w:eastAsia="方正小标宋简体"/>
          <w:sz w:val="48"/>
          <w:szCs w:val="48"/>
        </w:rPr>
      </w:pPr>
    </w:p>
    <w:p w14:paraId="196AD103">
      <w:pPr>
        <w:jc w:val="center"/>
        <w:rPr>
          <w:rFonts w:ascii="Times New Roman" w:hAnsi="Times New Roman" w:eastAsia="方正小标宋简体"/>
          <w:sz w:val="48"/>
          <w:szCs w:val="48"/>
        </w:rPr>
      </w:pPr>
    </w:p>
    <w:p w14:paraId="49AAD906">
      <w:pPr>
        <w:jc w:val="center"/>
        <w:rPr>
          <w:rFonts w:ascii="Times New Roman" w:hAnsi="Times New Roman" w:eastAsia="方正小标宋简体"/>
          <w:sz w:val="48"/>
          <w:szCs w:val="48"/>
        </w:rPr>
      </w:pPr>
      <w:r>
        <w:rPr>
          <w:rFonts w:ascii="Times New Roman" w:hAnsi="Times New Roman" w:eastAsia="方正小标宋简体"/>
          <w:sz w:val="48"/>
          <w:szCs w:val="48"/>
        </w:rPr>
        <w:t>桐城市国民经济和社会发展</w:t>
      </w:r>
    </w:p>
    <w:p w14:paraId="1B338383">
      <w:pPr>
        <w:jc w:val="center"/>
        <w:rPr>
          <w:rFonts w:ascii="Times New Roman" w:hAnsi="Times New Roman" w:eastAsia="方正小标宋简体"/>
          <w:sz w:val="48"/>
          <w:szCs w:val="48"/>
        </w:rPr>
      </w:pPr>
      <w:r>
        <w:rPr>
          <w:rFonts w:ascii="Times New Roman" w:hAnsi="Times New Roman" w:eastAsia="方正小标宋简体"/>
          <w:sz w:val="48"/>
          <w:szCs w:val="48"/>
        </w:rPr>
        <w:t>第十四个五年规划</w:t>
      </w:r>
      <w:r>
        <w:rPr>
          <w:rFonts w:hint="eastAsia" w:ascii="Times New Roman" w:hAnsi="Times New Roman" w:eastAsia="方正小标宋简体"/>
          <w:sz w:val="48"/>
          <w:szCs w:val="48"/>
        </w:rPr>
        <w:t>和二</w:t>
      </w:r>
      <w:r>
        <w:rPr>
          <w:rFonts w:hint="eastAsia" w:ascii="宋体" w:hAnsi="宋体" w:cs="宋体"/>
          <w:sz w:val="48"/>
          <w:szCs w:val="48"/>
        </w:rPr>
        <w:t>〇</w:t>
      </w:r>
      <w:r>
        <w:rPr>
          <w:rFonts w:hint="eastAsia" w:ascii="Times New Roman" w:hAnsi="Times New Roman" w:eastAsia="方正小标宋简体"/>
          <w:sz w:val="48"/>
          <w:szCs w:val="48"/>
        </w:rPr>
        <w:t>三五年</w:t>
      </w:r>
    </w:p>
    <w:p w14:paraId="414417CD">
      <w:pPr>
        <w:jc w:val="center"/>
        <w:rPr>
          <w:rFonts w:ascii="Times New Roman" w:hAnsi="Times New Roman" w:eastAsia="方正小标宋简体"/>
          <w:sz w:val="48"/>
          <w:szCs w:val="48"/>
        </w:rPr>
      </w:pPr>
      <w:r>
        <w:rPr>
          <w:rFonts w:hint="eastAsia" w:ascii="Times New Roman" w:hAnsi="Times New Roman" w:eastAsia="方正小标宋简体"/>
          <w:sz w:val="48"/>
          <w:szCs w:val="48"/>
        </w:rPr>
        <w:t>远景目标</w:t>
      </w:r>
      <w:r>
        <w:rPr>
          <w:rFonts w:ascii="Times New Roman" w:hAnsi="Times New Roman" w:eastAsia="方正小标宋简体"/>
          <w:sz w:val="48"/>
          <w:szCs w:val="48"/>
        </w:rPr>
        <w:t>纲要</w:t>
      </w:r>
    </w:p>
    <w:p w14:paraId="468883CE">
      <w:pPr>
        <w:spacing w:beforeLines="50"/>
        <w:jc w:val="center"/>
        <w:rPr>
          <w:rFonts w:ascii="Times New Roman" w:hAnsi="Times New Roman" w:eastAsia="方正小标宋简体"/>
          <w:sz w:val="48"/>
          <w:szCs w:val="48"/>
        </w:rPr>
      </w:pPr>
    </w:p>
    <w:p w14:paraId="5713E40E">
      <w:pPr>
        <w:jc w:val="center"/>
        <w:rPr>
          <w:rFonts w:ascii="Times New Roman" w:hAnsi="Times New Roman" w:eastAsia="方正小标宋简体"/>
          <w:sz w:val="48"/>
          <w:szCs w:val="48"/>
        </w:rPr>
      </w:pPr>
    </w:p>
    <w:p w14:paraId="2214CCBD">
      <w:pPr>
        <w:jc w:val="center"/>
        <w:rPr>
          <w:rFonts w:ascii="Times New Roman" w:hAnsi="Times New Roman" w:eastAsia="方正小标宋简体"/>
          <w:sz w:val="48"/>
          <w:szCs w:val="48"/>
        </w:rPr>
      </w:pPr>
    </w:p>
    <w:p w14:paraId="5158AE8E">
      <w:pPr>
        <w:jc w:val="center"/>
        <w:rPr>
          <w:rFonts w:ascii="Times New Roman" w:hAnsi="Times New Roman" w:eastAsia="方正小标宋简体"/>
          <w:sz w:val="48"/>
          <w:szCs w:val="48"/>
        </w:rPr>
      </w:pPr>
    </w:p>
    <w:p w14:paraId="31804CDD">
      <w:pPr>
        <w:jc w:val="center"/>
        <w:rPr>
          <w:rFonts w:ascii="Times New Roman" w:hAnsi="Times New Roman" w:eastAsia="方正小标宋简体"/>
          <w:sz w:val="48"/>
          <w:szCs w:val="48"/>
        </w:rPr>
      </w:pPr>
    </w:p>
    <w:p w14:paraId="576A9760">
      <w:pPr>
        <w:pStyle w:val="9"/>
      </w:pPr>
    </w:p>
    <w:p w14:paraId="37DB3631">
      <w:pPr>
        <w:pStyle w:val="9"/>
      </w:pPr>
    </w:p>
    <w:p w14:paraId="16E52066">
      <w:pPr>
        <w:pStyle w:val="9"/>
      </w:pPr>
    </w:p>
    <w:p w14:paraId="1C97A6AA">
      <w:pPr>
        <w:pStyle w:val="9"/>
        <w:ind w:left="0" w:leftChars="0" w:firstLine="0" w:firstLineChars="0"/>
      </w:pPr>
    </w:p>
    <w:p w14:paraId="3811B62B">
      <w:pPr>
        <w:pStyle w:val="9"/>
      </w:pPr>
    </w:p>
    <w:p w14:paraId="1D521376">
      <w:pPr>
        <w:pStyle w:val="9"/>
      </w:pPr>
    </w:p>
    <w:p w14:paraId="0D88DF37">
      <w:pPr>
        <w:jc w:val="center"/>
        <w:rPr>
          <w:rFonts w:hint="default" w:ascii="楷体_GB2312" w:hAnsi="黑体" w:eastAsia="楷体_GB2312" w:cs="Times New Roman"/>
          <w:sz w:val="36"/>
          <w:szCs w:val="36"/>
          <w:lang w:val="en-US" w:eastAsia="zh-CN"/>
        </w:rPr>
      </w:pPr>
      <w:r>
        <w:rPr>
          <w:rFonts w:hint="eastAsia" w:ascii="楷体_GB2312" w:hAnsi="黑体" w:eastAsia="楷体_GB2312" w:cs="Times New Roman"/>
          <w:sz w:val="36"/>
          <w:szCs w:val="36"/>
          <w:lang w:val="en-US" w:eastAsia="zh-CN"/>
        </w:rPr>
        <w:t>桐城市人民政府</w:t>
      </w:r>
    </w:p>
    <w:p w14:paraId="44FDE242">
      <w:pPr>
        <w:jc w:val="center"/>
        <w:rPr>
          <w:rFonts w:hint="eastAsia" w:ascii="楷体_GB2312" w:hAnsi="黑体" w:eastAsia="楷体_GB2312" w:cs="Times New Roman"/>
          <w:sz w:val="36"/>
          <w:szCs w:val="36"/>
        </w:rPr>
        <w:sectPr>
          <w:pgSz w:w="11906" w:h="16838"/>
          <w:pgMar w:top="1440" w:right="1800" w:bottom="1440" w:left="1800" w:header="851" w:footer="992" w:gutter="0"/>
          <w:pgNumType w:fmt="decimal"/>
          <w:cols w:space="720" w:num="1"/>
          <w:docGrid w:type="lines" w:linePitch="312" w:charSpace="0"/>
        </w:sectPr>
      </w:pPr>
      <w:r>
        <w:rPr>
          <w:rFonts w:hint="eastAsia" w:ascii="楷体_GB2312" w:hAnsi="黑体" w:eastAsia="楷体_GB2312" w:cs="Times New Roman"/>
          <w:sz w:val="36"/>
          <w:szCs w:val="36"/>
        </w:rPr>
        <w:t>202</w:t>
      </w:r>
      <w:r>
        <w:rPr>
          <w:rFonts w:hint="eastAsia" w:ascii="楷体_GB2312" w:hAnsi="黑体" w:eastAsia="楷体_GB2312" w:cs="Times New Roman"/>
          <w:sz w:val="36"/>
          <w:szCs w:val="36"/>
          <w:lang w:val="en-US" w:eastAsia="zh-CN"/>
        </w:rPr>
        <w:t>1</w:t>
      </w:r>
      <w:r>
        <w:rPr>
          <w:rFonts w:hint="eastAsia" w:ascii="楷体_GB2312" w:hAnsi="黑体" w:eastAsia="楷体_GB2312" w:cs="Times New Roman"/>
          <w:sz w:val="36"/>
          <w:szCs w:val="36"/>
        </w:rPr>
        <w:t>年</w:t>
      </w:r>
      <w:r>
        <w:rPr>
          <w:rFonts w:hint="eastAsia" w:ascii="楷体_GB2312" w:hAnsi="黑体" w:eastAsia="楷体_GB2312" w:cs="Times New Roman"/>
          <w:sz w:val="36"/>
          <w:szCs w:val="36"/>
          <w:lang w:val="en-US" w:eastAsia="zh-CN"/>
        </w:rPr>
        <w:t>3</w:t>
      </w:r>
      <w:r>
        <w:rPr>
          <w:rFonts w:hint="eastAsia" w:ascii="楷体_GB2312" w:hAnsi="黑体" w:eastAsia="楷体_GB2312" w:cs="Times New Roman"/>
          <w:sz w:val="36"/>
          <w:szCs w:val="36"/>
        </w:rPr>
        <w:t>月</w:t>
      </w:r>
    </w:p>
    <w:p w14:paraId="30EA91EA">
      <w:pPr>
        <w:jc w:val="center"/>
        <w:rPr>
          <w:rFonts w:ascii="Times New Roman" w:hAnsi="Times New Roman" w:eastAsia="方正小标宋简体"/>
          <w:b/>
          <w:sz w:val="32"/>
          <w:szCs w:val="32"/>
        </w:rPr>
      </w:pPr>
      <w:r>
        <w:rPr>
          <w:rFonts w:ascii="Times New Roman" w:hAnsi="Times New Roman" w:eastAsia="方正小标宋简体"/>
          <w:b/>
          <w:sz w:val="32"/>
          <w:szCs w:val="32"/>
        </w:rPr>
        <w:t>目</w:t>
      </w:r>
      <w:r>
        <w:rPr>
          <w:rFonts w:hint="eastAsia" w:ascii="Times New Roman" w:hAnsi="Times New Roman" w:eastAsia="方正小标宋简体"/>
          <w:b/>
          <w:sz w:val="32"/>
          <w:szCs w:val="32"/>
          <w:lang w:val="en-US" w:eastAsia="zh-CN"/>
        </w:rPr>
        <w:t xml:space="preserve">  </w:t>
      </w:r>
      <w:r>
        <w:rPr>
          <w:rFonts w:ascii="Times New Roman" w:hAnsi="Times New Roman" w:eastAsia="方正小标宋简体"/>
          <w:b/>
          <w:sz w:val="32"/>
          <w:szCs w:val="32"/>
        </w:rPr>
        <w:t>录</w:t>
      </w:r>
    </w:p>
    <w:p w14:paraId="6B817805">
      <w:pPr>
        <w:pStyle w:val="4"/>
        <w:tabs>
          <w:tab w:val="right" w:leader="dot" w:pos="8306"/>
        </w:tabs>
        <w:rPr>
          <w:rFonts w:hint="eastAsia" w:ascii="黑体" w:hAnsi="黑体" w:eastAsia="黑体" w:cs="黑体"/>
          <w:sz w:val="28"/>
          <w:szCs w:val="28"/>
          <w:lang w:val="en-US"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TOC \o "1-2" \u </w:instrText>
      </w:r>
      <w:r>
        <w:rPr>
          <w:rFonts w:hint="eastAsia" w:ascii="仿宋" w:hAnsi="仿宋" w:eastAsia="仿宋" w:cs="仿宋"/>
          <w:sz w:val="28"/>
          <w:szCs w:val="28"/>
        </w:rPr>
        <w:fldChar w:fldCharType="separate"/>
      </w:r>
      <w:r>
        <w:rPr>
          <w:rFonts w:hint="eastAsia" w:ascii="黑体" w:hAnsi="黑体" w:eastAsia="黑体" w:cs="黑体"/>
          <w:kern w:val="2"/>
          <w:sz w:val="28"/>
          <w:szCs w:val="28"/>
          <w:lang w:val="en-US" w:eastAsia="zh-CN" w:bidi="ar-SA"/>
        </w:rPr>
        <w:t>第一章 决胜全面小康，迈出强富美桐城建设新步伐</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_Toc5218 \h </w:instrText>
      </w:r>
      <w:r>
        <w:rPr>
          <w:rFonts w:hint="eastAsia" w:ascii="黑体" w:hAnsi="黑体" w:eastAsia="黑体" w:cs="黑体"/>
          <w:sz w:val="28"/>
          <w:szCs w:val="28"/>
        </w:rPr>
        <w:fldChar w:fldCharType="separate"/>
      </w:r>
      <w:r>
        <w:rPr>
          <w:rFonts w:hint="eastAsia" w:ascii="黑体" w:hAnsi="黑体" w:eastAsia="黑体" w:cs="黑体"/>
          <w:sz w:val="28"/>
          <w:szCs w:val="28"/>
        </w:rPr>
        <w:t>1</w:t>
      </w:r>
      <w:r>
        <w:rPr>
          <w:rFonts w:hint="eastAsia" w:ascii="黑体" w:hAnsi="黑体" w:eastAsia="黑体" w:cs="黑体"/>
          <w:sz w:val="28"/>
          <w:szCs w:val="28"/>
        </w:rPr>
        <w:fldChar w:fldCharType="end"/>
      </w:r>
    </w:p>
    <w:p w14:paraId="69703C00">
      <w:pPr>
        <w:pStyle w:val="16"/>
        <w:tabs>
          <w:tab w:val="right" w:leader="dot" w:pos="8306"/>
        </w:tabs>
        <w:rPr>
          <w:rFonts w:hint="eastAsia" w:ascii="仿宋" w:hAnsi="仿宋" w:eastAsia="仿宋" w:cs="仿宋"/>
          <w:sz w:val="28"/>
          <w:szCs w:val="28"/>
        </w:rPr>
      </w:pPr>
      <w:r>
        <w:rPr>
          <w:rFonts w:hint="eastAsia" w:ascii="仿宋" w:hAnsi="仿宋" w:eastAsia="仿宋" w:cs="仿宋"/>
          <w:sz w:val="28"/>
          <w:szCs w:val="28"/>
        </w:rPr>
        <w:t>第一节</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决胜全面建成小康社会取得决定性成就</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_Toc5218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p>
    <w:p w14:paraId="54FED019">
      <w:pPr>
        <w:pStyle w:val="16"/>
        <w:tabs>
          <w:tab w:val="right" w:leader="dot" w:pos="8306"/>
        </w:tabs>
        <w:rPr>
          <w:rFonts w:hint="eastAsia" w:ascii="仿宋" w:hAnsi="仿宋" w:eastAsia="仿宋" w:cs="仿宋"/>
          <w:sz w:val="28"/>
          <w:szCs w:val="28"/>
        </w:rPr>
      </w:pPr>
      <w:r>
        <w:rPr>
          <w:rFonts w:hint="eastAsia" w:ascii="仿宋" w:hAnsi="仿宋" w:eastAsia="仿宋" w:cs="仿宋"/>
          <w:sz w:val="28"/>
          <w:szCs w:val="28"/>
        </w:rPr>
        <w:t>第二节</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“十四五”时期经济社会发展环境</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_Toc28607 \h </w:instrText>
      </w:r>
      <w:r>
        <w:rPr>
          <w:rFonts w:hint="eastAsia" w:ascii="仿宋" w:hAnsi="仿宋" w:eastAsia="仿宋" w:cs="仿宋"/>
          <w:sz w:val="28"/>
          <w:szCs w:val="28"/>
        </w:rPr>
        <w:fldChar w:fldCharType="separate"/>
      </w:r>
      <w:r>
        <w:rPr>
          <w:rFonts w:hint="eastAsia" w:ascii="仿宋" w:hAnsi="仿宋" w:eastAsia="仿宋" w:cs="仿宋"/>
          <w:sz w:val="28"/>
          <w:szCs w:val="28"/>
        </w:rPr>
        <w:t>6</w:t>
      </w:r>
      <w:r>
        <w:rPr>
          <w:rFonts w:hint="eastAsia" w:ascii="仿宋" w:hAnsi="仿宋" w:eastAsia="仿宋" w:cs="仿宋"/>
          <w:sz w:val="28"/>
          <w:szCs w:val="28"/>
        </w:rPr>
        <w:fldChar w:fldCharType="end"/>
      </w:r>
    </w:p>
    <w:p w14:paraId="196A3D56">
      <w:pPr>
        <w:pStyle w:val="16"/>
        <w:tabs>
          <w:tab w:val="right" w:leader="dot" w:pos="8306"/>
        </w:tabs>
        <w:rPr>
          <w:rFonts w:hint="eastAsia" w:ascii="仿宋" w:hAnsi="仿宋" w:eastAsia="仿宋" w:cs="仿宋"/>
          <w:sz w:val="28"/>
          <w:szCs w:val="28"/>
        </w:rPr>
      </w:pPr>
      <w:r>
        <w:rPr>
          <w:rFonts w:hint="eastAsia" w:ascii="仿宋" w:hAnsi="仿宋" w:eastAsia="仿宋" w:cs="仿宋"/>
          <w:sz w:val="28"/>
          <w:szCs w:val="28"/>
        </w:rPr>
        <w:t>第三节</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“十四五”发展思路</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_Toc28091 \h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p>
    <w:p w14:paraId="6510D574">
      <w:pPr>
        <w:pStyle w:val="16"/>
        <w:tabs>
          <w:tab w:val="right" w:leader="dot" w:pos="8306"/>
        </w:tabs>
        <w:rPr>
          <w:rFonts w:hint="eastAsia" w:ascii="仿宋" w:hAnsi="仿宋" w:eastAsia="仿宋" w:cs="仿宋"/>
          <w:sz w:val="28"/>
          <w:szCs w:val="28"/>
        </w:rPr>
      </w:pPr>
      <w:r>
        <w:rPr>
          <w:rFonts w:hint="eastAsia" w:ascii="仿宋" w:hAnsi="仿宋" w:eastAsia="仿宋" w:cs="仿宋"/>
          <w:sz w:val="28"/>
          <w:szCs w:val="28"/>
        </w:rPr>
        <w:t>第四节</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主要目标</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_Toc6976 \h </w:instrText>
      </w:r>
      <w:r>
        <w:rPr>
          <w:rFonts w:hint="eastAsia" w:ascii="仿宋" w:hAnsi="仿宋" w:eastAsia="仿宋" w:cs="仿宋"/>
          <w:sz w:val="28"/>
          <w:szCs w:val="28"/>
        </w:rPr>
        <w:fldChar w:fldCharType="separate"/>
      </w:r>
      <w:r>
        <w:rPr>
          <w:rFonts w:hint="eastAsia" w:ascii="仿宋" w:hAnsi="仿宋" w:eastAsia="仿宋" w:cs="仿宋"/>
          <w:sz w:val="28"/>
          <w:szCs w:val="28"/>
        </w:rPr>
        <w:t>13</w:t>
      </w:r>
      <w:r>
        <w:rPr>
          <w:rFonts w:hint="eastAsia" w:ascii="仿宋" w:hAnsi="仿宋" w:eastAsia="仿宋" w:cs="仿宋"/>
          <w:sz w:val="28"/>
          <w:szCs w:val="28"/>
        </w:rPr>
        <w:fldChar w:fldCharType="end"/>
      </w:r>
    </w:p>
    <w:p w14:paraId="044AC710">
      <w:pPr>
        <w:pStyle w:val="4"/>
        <w:tabs>
          <w:tab w:val="right" w:leader="dot" w:pos="8306"/>
        </w:tabs>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第二章 强化科技创新，增强跨越发展新动能</w:t>
      </w:r>
      <w:r>
        <w:rPr>
          <w:rFonts w:hint="eastAsia" w:ascii="黑体" w:hAnsi="黑体" w:eastAsia="黑体" w:cs="黑体"/>
          <w:kern w:val="2"/>
          <w:sz w:val="28"/>
          <w:szCs w:val="28"/>
          <w:lang w:val="en-US" w:eastAsia="zh-CN" w:bidi="ar-SA"/>
        </w:rPr>
        <w:tab/>
      </w:r>
      <w:r>
        <w:rPr>
          <w:rFonts w:hint="eastAsia" w:ascii="黑体" w:hAnsi="黑体" w:eastAsia="黑体" w:cs="黑体"/>
          <w:kern w:val="2"/>
          <w:sz w:val="28"/>
          <w:szCs w:val="28"/>
          <w:lang w:val="en-US" w:eastAsia="zh-CN" w:bidi="ar-SA"/>
        </w:rPr>
        <w:fldChar w:fldCharType="begin"/>
      </w:r>
      <w:r>
        <w:rPr>
          <w:rFonts w:hint="eastAsia" w:ascii="黑体" w:hAnsi="黑体" w:eastAsia="黑体" w:cs="黑体"/>
          <w:kern w:val="2"/>
          <w:sz w:val="28"/>
          <w:szCs w:val="28"/>
          <w:lang w:val="en-US" w:eastAsia="zh-CN" w:bidi="ar-SA"/>
        </w:rPr>
        <w:instrText xml:space="preserve"> PAGEREF _Toc21813 \h </w:instrText>
      </w:r>
      <w:r>
        <w:rPr>
          <w:rFonts w:hint="eastAsia" w:ascii="黑体" w:hAnsi="黑体" w:eastAsia="黑体" w:cs="黑体"/>
          <w:kern w:val="2"/>
          <w:sz w:val="28"/>
          <w:szCs w:val="28"/>
          <w:lang w:val="en-US" w:eastAsia="zh-CN" w:bidi="ar-SA"/>
        </w:rPr>
        <w:fldChar w:fldCharType="separate"/>
      </w:r>
      <w:r>
        <w:rPr>
          <w:rFonts w:hint="eastAsia" w:ascii="黑体" w:hAnsi="黑体" w:eastAsia="黑体" w:cs="黑体"/>
          <w:kern w:val="2"/>
          <w:sz w:val="28"/>
          <w:szCs w:val="28"/>
          <w:lang w:val="en-US" w:eastAsia="zh-CN" w:bidi="ar-SA"/>
        </w:rPr>
        <w:t>19</w:t>
      </w:r>
      <w:r>
        <w:rPr>
          <w:rFonts w:hint="eastAsia" w:ascii="黑体" w:hAnsi="黑体" w:eastAsia="黑体" w:cs="黑体"/>
          <w:kern w:val="2"/>
          <w:sz w:val="28"/>
          <w:szCs w:val="28"/>
          <w:lang w:val="en-US" w:eastAsia="zh-CN" w:bidi="ar-SA"/>
        </w:rPr>
        <w:fldChar w:fldCharType="end"/>
      </w:r>
    </w:p>
    <w:p w14:paraId="1B3AEAE0">
      <w:pPr>
        <w:pStyle w:val="16"/>
        <w:tabs>
          <w:tab w:val="right" w:leader="dot" w:pos="8306"/>
        </w:tabs>
        <w:rPr>
          <w:rFonts w:hint="eastAsia" w:ascii="仿宋" w:hAnsi="仿宋" w:eastAsia="仿宋" w:cs="仿宋"/>
          <w:sz w:val="28"/>
          <w:szCs w:val="28"/>
        </w:rPr>
      </w:pPr>
      <w:r>
        <w:rPr>
          <w:rFonts w:hint="eastAsia" w:ascii="仿宋" w:hAnsi="仿宋" w:eastAsia="仿宋" w:cs="仿宋"/>
          <w:sz w:val="28"/>
          <w:szCs w:val="28"/>
        </w:rPr>
        <w:t>第一节</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激发企业自主创新活力</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_Toc29947 \h </w:instrText>
      </w:r>
      <w:r>
        <w:rPr>
          <w:rFonts w:hint="eastAsia" w:ascii="仿宋" w:hAnsi="仿宋" w:eastAsia="仿宋" w:cs="仿宋"/>
          <w:sz w:val="28"/>
          <w:szCs w:val="28"/>
        </w:rPr>
        <w:fldChar w:fldCharType="separate"/>
      </w:r>
      <w:r>
        <w:rPr>
          <w:rFonts w:hint="eastAsia" w:ascii="仿宋" w:hAnsi="仿宋" w:eastAsia="仿宋" w:cs="仿宋"/>
          <w:sz w:val="28"/>
          <w:szCs w:val="28"/>
        </w:rPr>
        <w:t>19</w:t>
      </w:r>
      <w:r>
        <w:rPr>
          <w:rFonts w:hint="eastAsia" w:ascii="仿宋" w:hAnsi="仿宋" w:eastAsia="仿宋" w:cs="仿宋"/>
          <w:sz w:val="28"/>
          <w:szCs w:val="28"/>
        </w:rPr>
        <w:fldChar w:fldCharType="end"/>
      </w:r>
    </w:p>
    <w:p w14:paraId="35238B4C">
      <w:pPr>
        <w:pStyle w:val="16"/>
        <w:tabs>
          <w:tab w:val="right" w:leader="dot" w:pos="8306"/>
        </w:tabs>
        <w:rPr>
          <w:rFonts w:hint="eastAsia" w:ascii="仿宋" w:hAnsi="仿宋" w:eastAsia="仿宋" w:cs="仿宋"/>
          <w:sz w:val="28"/>
          <w:szCs w:val="28"/>
        </w:rPr>
      </w:pPr>
      <w:r>
        <w:rPr>
          <w:rFonts w:hint="eastAsia" w:ascii="仿宋" w:hAnsi="仿宋" w:eastAsia="仿宋" w:cs="仿宋"/>
          <w:sz w:val="28"/>
          <w:szCs w:val="28"/>
        </w:rPr>
        <w:t>第二节</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广泛集聚人才资源</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_Toc11561 \h </w:instrText>
      </w:r>
      <w:r>
        <w:rPr>
          <w:rFonts w:hint="eastAsia" w:ascii="仿宋" w:hAnsi="仿宋" w:eastAsia="仿宋" w:cs="仿宋"/>
          <w:sz w:val="28"/>
          <w:szCs w:val="28"/>
        </w:rPr>
        <w:fldChar w:fldCharType="separate"/>
      </w:r>
      <w:r>
        <w:rPr>
          <w:rFonts w:hint="eastAsia" w:ascii="仿宋" w:hAnsi="仿宋" w:eastAsia="仿宋" w:cs="仿宋"/>
          <w:sz w:val="28"/>
          <w:szCs w:val="28"/>
        </w:rPr>
        <w:t>20</w:t>
      </w:r>
      <w:r>
        <w:rPr>
          <w:rFonts w:hint="eastAsia" w:ascii="仿宋" w:hAnsi="仿宋" w:eastAsia="仿宋" w:cs="仿宋"/>
          <w:sz w:val="28"/>
          <w:szCs w:val="28"/>
        </w:rPr>
        <w:fldChar w:fldCharType="end"/>
      </w:r>
    </w:p>
    <w:p w14:paraId="28B31031">
      <w:pPr>
        <w:pStyle w:val="16"/>
        <w:tabs>
          <w:tab w:val="right" w:leader="dot" w:pos="8306"/>
        </w:tabs>
        <w:rPr>
          <w:rFonts w:hint="eastAsia" w:ascii="仿宋" w:hAnsi="仿宋" w:eastAsia="仿宋" w:cs="仿宋"/>
          <w:sz w:val="28"/>
          <w:szCs w:val="28"/>
        </w:rPr>
      </w:pPr>
      <w:r>
        <w:rPr>
          <w:rFonts w:hint="eastAsia" w:ascii="仿宋" w:hAnsi="仿宋" w:eastAsia="仿宋" w:cs="仿宋"/>
          <w:sz w:val="28"/>
          <w:szCs w:val="28"/>
        </w:rPr>
        <w:t>第三节</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打造高效科技创新平台</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_Toc31952 \h </w:instrText>
      </w:r>
      <w:r>
        <w:rPr>
          <w:rFonts w:hint="eastAsia" w:ascii="仿宋" w:hAnsi="仿宋" w:eastAsia="仿宋" w:cs="仿宋"/>
          <w:sz w:val="28"/>
          <w:szCs w:val="28"/>
        </w:rPr>
        <w:fldChar w:fldCharType="separate"/>
      </w:r>
      <w:r>
        <w:rPr>
          <w:rFonts w:hint="eastAsia" w:ascii="仿宋" w:hAnsi="仿宋" w:eastAsia="仿宋" w:cs="仿宋"/>
          <w:sz w:val="28"/>
          <w:szCs w:val="28"/>
        </w:rPr>
        <w:t>21</w:t>
      </w:r>
      <w:r>
        <w:rPr>
          <w:rFonts w:hint="eastAsia" w:ascii="仿宋" w:hAnsi="仿宋" w:eastAsia="仿宋" w:cs="仿宋"/>
          <w:sz w:val="28"/>
          <w:szCs w:val="28"/>
        </w:rPr>
        <w:fldChar w:fldCharType="end"/>
      </w:r>
    </w:p>
    <w:p w14:paraId="0B409000">
      <w:pPr>
        <w:pStyle w:val="4"/>
        <w:tabs>
          <w:tab w:val="right" w:leader="dot" w:pos="8306"/>
        </w:tabs>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第三章 聚焦实体经济，推动产业体系优化升级</w:t>
      </w:r>
      <w:r>
        <w:rPr>
          <w:rFonts w:hint="eastAsia" w:ascii="黑体" w:hAnsi="黑体" w:eastAsia="黑体" w:cs="黑体"/>
          <w:kern w:val="2"/>
          <w:sz w:val="28"/>
          <w:szCs w:val="28"/>
          <w:lang w:val="en-US" w:eastAsia="zh-CN" w:bidi="ar-SA"/>
        </w:rPr>
        <w:tab/>
      </w:r>
      <w:r>
        <w:rPr>
          <w:rFonts w:hint="eastAsia" w:ascii="黑体" w:hAnsi="黑体" w:eastAsia="黑体" w:cs="黑体"/>
          <w:kern w:val="2"/>
          <w:sz w:val="28"/>
          <w:szCs w:val="28"/>
          <w:lang w:val="en-US" w:eastAsia="zh-CN" w:bidi="ar-SA"/>
        </w:rPr>
        <w:fldChar w:fldCharType="begin"/>
      </w:r>
      <w:r>
        <w:rPr>
          <w:rFonts w:hint="eastAsia" w:ascii="黑体" w:hAnsi="黑体" w:eastAsia="黑体" w:cs="黑体"/>
          <w:kern w:val="2"/>
          <w:sz w:val="28"/>
          <w:szCs w:val="28"/>
          <w:lang w:val="en-US" w:eastAsia="zh-CN" w:bidi="ar-SA"/>
        </w:rPr>
        <w:instrText xml:space="preserve"> PAGEREF _Toc10552 \h </w:instrText>
      </w:r>
      <w:r>
        <w:rPr>
          <w:rFonts w:hint="eastAsia" w:ascii="黑体" w:hAnsi="黑体" w:eastAsia="黑体" w:cs="黑体"/>
          <w:kern w:val="2"/>
          <w:sz w:val="28"/>
          <w:szCs w:val="28"/>
          <w:lang w:val="en-US" w:eastAsia="zh-CN" w:bidi="ar-SA"/>
        </w:rPr>
        <w:fldChar w:fldCharType="separate"/>
      </w:r>
      <w:r>
        <w:rPr>
          <w:rFonts w:hint="eastAsia" w:ascii="黑体" w:hAnsi="黑体" w:eastAsia="黑体" w:cs="黑体"/>
          <w:kern w:val="2"/>
          <w:sz w:val="28"/>
          <w:szCs w:val="28"/>
          <w:lang w:val="en-US" w:eastAsia="zh-CN" w:bidi="ar-SA"/>
        </w:rPr>
        <w:t>23</w:t>
      </w:r>
      <w:r>
        <w:rPr>
          <w:rFonts w:hint="eastAsia" w:ascii="黑体" w:hAnsi="黑体" w:eastAsia="黑体" w:cs="黑体"/>
          <w:kern w:val="2"/>
          <w:sz w:val="28"/>
          <w:szCs w:val="28"/>
          <w:lang w:val="en-US" w:eastAsia="zh-CN" w:bidi="ar-SA"/>
        </w:rPr>
        <w:fldChar w:fldCharType="end"/>
      </w:r>
    </w:p>
    <w:p w14:paraId="5DD8FB88">
      <w:pPr>
        <w:pStyle w:val="16"/>
        <w:tabs>
          <w:tab w:val="right" w:leader="dot" w:pos="8306"/>
        </w:tabs>
        <w:rPr>
          <w:rFonts w:hint="eastAsia" w:ascii="仿宋" w:hAnsi="仿宋" w:eastAsia="仿宋" w:cs="仿宋"/>
          <w:sz w:val="28"/>
          <w:szCs w:val="28"/>
        </w:rPr>
      </w:pPr>
      <w:r>
        <w:rPr>
          <w:rFonts w:hint="eastAsia" w:ascii="仿宋" w:hAnsi="仿宋" w:eastAsia="仿宋" w:cs="仿宋"/>
          <w:sz w:val="28"/>
          <w:szCs w:val="28"/>
        </w:rPr>
        <w:t>第一节</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着力做强两大首位产业</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_Toc1555 \h </w:instrText>
      </w:r>
      <w:r>
        <w:rPr>
          <w:rFonts w:hint="eastAsia" w:ascii="仿宋" w:hAnsi="仿宋" w:eastAsia="仿宋" w:cs="仿宋"/>
          <w:sz w:val="28"/>
          <w:szCs w:val="28"/>
        </w:rPr>
        <w:fldChar w:fldCharType="separate"/>
      </w:r>
      <w:r>
        <w:rPr>
          <w:rFonts w:hint="eastAsia" w:ascii="仿宋" w:hAnsi="仿宋" w:eastAsia="仿宋" w:cs="仿宋"/>
          <w:sz w:val="28"/>
          <w:szCs w:val="28"/>
        </w:rPr>
        <w:t>23</w:t>
      </w:r>
      <w:r>
        <w:rPr>
          <w:rFonts w:hint="eastAsia" w:ascii="仿宋" w:hAnsi="仿宋" w:eastAsia="仿宋" w:cs="仿宋"/>
          <w:sz w:val="28"/>
          <w:szCs w:val="28"/>
        </w:rPr>
        <w:fldChar w:fldCharType="end"/>
      </w:r>
    </w:p>
    <w:p w14:paraId="5A1751E1">
      <w:pPr>
        <w:pStyle w:val="16"/>
        <w:tabs>
          <w:tab w:val="right" w:leader="dot" w:pos="8306"/>
        </w:tabs>
        <w:rPr>
          <w:rFonts w:hint="eastAsia" w:ascii="仿宋" w:hAnsi="仿宋" w:eastAsia="仿宋" w:cs="仿宋"/>
          <w:sz w:val="28"/>
          <w:szCs w:val="28"/>
        </w:rPr>
      </w:pPr>
      <w:r>
        <w:rPr>
          <w:rFonts w:hint="eastAsia" w:ascii="仿宋" w:hAnsi="仿宋" w:eastAsia="仿宋" w:cs="仿宋"/>
          <w:sz w:val="28"/>
          <w:szCs w:val="28"/>
        </w:rPr>
        <w:t>第二节</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培育壮大三大新兴产业</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_Toc27836 \h </w:instrText>
      </w:r>
      <w:r>
        <w:rPr>
          <w:rFonts w:hint="eastAsia" w:ascii="仿宋" w:hAnsi="仿宋" w:eastAsia="仿宋" w:cs="仿宋"/>
          <w:sz w:val="28"/>
          <w:szCs w:val="28"/>
        </w:rPr>
        <w:fldChar w:fldCharType="separate"/>
      </w:r>
      <w:r>
        <w:rPr>
          <w:rFonts w:hint="eastAsia" w:ascii="仿宋" w:hAnsi="仿宋" w:eastAsia="仿宋" w:cs="仿宋"/>
          <w:sz w:val="28"/>
          <w:szCs w:val="28"/>
        </w:rPr>
        <w:t>25</w:t>
      </w:r>
      <w:r>
        <w:rPr>
          <w:rFonts w:hint="eastAsia" w:ascii="仿宋" w:hAnsi="仿宋" w:eastAsia="仿宋" w:cs="仿宋"/>
          <w:sz w:val="28"/>
          <w:szCs w:val="28"/>
        </w:rPr>
        <w:fldChar w:fldCharType="end"/>
      </w:r>
    </w:p>
    <w:p w14:paraId="59CC55F6">
      <w:pPr>
        <w:pStyle w:val="16"/>
        <w:tabs>
          <w:tab w:val="right" w:leader="dot" w:pos="8306"/>
        </w:tabs>
        <w:rPr>
          <w:rFonts w:hint="eastAsia" w:ascii="仿宋" w:hAnsi="仿宋" w:eastAsia="仿宋" w:cs="仿宋"/>
          <w:sz w:val="28"/>
          <w:szCs w:val="28"/>
        </w:rPr>
      </w:pPr>
      <w:r>
        <w:rPr>
          <w:rFonts w:hint="eastAsia" w:ascii="仿宋" w:hAnsi="仿宋" w:eastAsia="仿宋" w:cs="仿宋"/>
          <w:sz w:val="28"/>
          <w:szCs w:val="28"/>
        </w:rPr>
        <w:t>第三节 巩固提升三大传统产业</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_Toc5827 \h </w:instrText>
      </w:r>
      <w:r>
        <w:rPr>
          <w:rFonts w:hint="eastAsia" w:ascii="仿宋" w:hAnsi="仿宋" w:eastAsia="仿宋" w:cs="仿宋"/>
          <w:sz w:val="28"/>
          <w:szCs w:val="28"/>
        </w:rPr>
        <w:fldChar w:fldCharType="separate"/>
      </w:r>
      <w:r>
        <w:rPr>
          <w:rFonts w:hint="eastAsia" w:ascii="仿宋" w:hAnsi="仿宋" w:eastAsia="仿宋" w:cs="仿宋"/>
          <w:sz w:val="28"/>
          <w:szCs w:val="28"/>
        </w:rPr>
        <w:t>27</w:t>
      </w:r>
      <w:r>
        <w:rPr>
          <w:rFonts w:hint="eastAsia" w:ascii="仿宋" w:hAnsi="仿宋" w:eastAsia="仿宋" w:cs="仿宋"/>
          <w:sz w:val="28"/>
          <w:szCs w:val="28"/>
        </w:rPr>
        <w:fldChar w:fldCharType="end"/>
      </w:r>
    </w:p>
    <w:p w14:paraId="36410198">
      <w:pPr>
        <w:pStyle w:val="16"/>
        <w:tabs>
          <w:tab w:val="right" w:leader="dot" w:pos="8306"/>
        </w:tabs>
        <w:rPr>
          <w:rFonts w:hint="eastAsia" w:ascii="仿宋" w:hAnsi="仿宋" w:eastAsia="仿宋" w:cs="仿宋"/>
          <w:sz w:val="28"/>
          <w:szCs w:val="28"/>
        </w:rPr>
      </w:pPr>
      <w:r>
        <w:rPr>
          <w:rFonts w:hint="eastAsia" w:ascii="仿宋" w:hAnsi="仿宋" w:eastAsia="仿宋" w:cs="仿宋"/>
          <w:sz w:val="28"/>
          <w:szCs w:val="28"/>
        </w:rPr>
        <w:t>第四节</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培优做强先进制造业集群</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_Toc15765 \h </w:instrText>
      </w:r>
      <w:r>
        <w:rPr>
          <w:rFonts w:hint="eastAsia" w:ascii="仿宋" w:hAnsi="仿宋" w:eastAsia="仿宋" w:cs="仿宋"/>
          <w:sz w:val="28"/>
          <w:szCs w:val="28"/>
        </w:rPr>
        <w:fldChar w:fldCharType="separate"/>
      </w:r>
      <w:r>
        <w:rPr>
          <w:rFonts w:hint="eastAsia" w:ascii="仿宋" w:hAnsi="仿宋" w:eastAsia="仿宋" w:cs="仿宋"/>
          <w:sz w:val="28"/>
          <w:szCs w:val="28"/>
        </w:rPr>
        <w:t>29</w:t>
      </w:r>
      <w:r>
        <w:rPr>
          <w:rFonts w:hint="eastAsia" w:ascii="仿宋" w:hAnsi="仿宋" w:eastAsia="仿宋" w:cs="仿宋"/>
          <w:sz w:val="28"/>
          <w:szCs w:val="28"/>
        </w:rPr>
        <w:fldChar w:fldCharType="end"/>
      </w:r>
    </w:p>
    <w:p w14:paraId="7A53B880">
      <w:pPr>
        <w:pStyle w:val="16"/>
        <w:tabs>
          <w:tab w:val="right" w:leader="dot" w:pos="8306"/>
        </w:tabs>
        <w:rPr>
          <w:rFonts w:hint="eastAsia" w:ascii="仿宋" w:hAnsi="仿宋" w:eastAsia="仿宋" w:cs="仿宋"/>
          <w:sz w:val="28"/>
          <w:szCs w:val="28"/>
        </w:rPr>
      </w:pPr>
      <w:r>
        <w:rPr>
          <w:rFonts w:hint="eastAsia" w:ascii="仿宋" w:hAnsi="仿宋" w:eastAsia="仿宋" w:cs="仿宋"/>
          <w:sz w:val="28"/>
          <w:szCs w:val="28"/>
        </w:rPr>
        <w:t>第五节</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大力发展服务业</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_Toc23963 \h </w:instrText>
      </w:r>
      <w:r>
        <w:rPr>
          <w:rFonts w:hint="eastAsia" w:ascii="仿宋" w:hAnsi="仿宋" w:eastAsia="仿宋" w:cs="仿宋"/>
          <w:sz w:val="28"/>
          <w:szCs w:val="28"/>
        </w:rPr>
        <w:fldChar w:fldCharType="separate"/>
      </w:r>
      <w:r>
        <w:rPr>
          <w:rFonts w:hint="eastAsia" w:ascii="仿宋" w:hAnsi="仿宋" w:eastAsia="仿宋" w:cs="仿宋"/>
          <w:sz w:val="28"/>
          <w:szCs w:val="28"/>
        </w:rPr>
        <w:t>31</w:t>
      </w:r>
      <w:r>
        <w:rPr>
          <w:rFonts w:hint="eastAsia" w:ascii="仿宋" w:hAnsi="仿宋" w:eastAsia="仿宋" w:cs="仿宋"/>
          <w:sz w:val="28"/>
          <w:szCs w:val="28"/>
        </w:rPr>
        <w:fldChar w:fldCharType="end"/>
      </w:r>
    </w:p>
    <w:p w14:paraId="7C9B6DC6">
      <w:pPr>
        <w:pStyle w:val="16"/>
        <w:tabs>
          <w:tab w:val="right" w:leader="dot" w:pos="8306"/>
        </w:tabs>
        <w:rPr>
          <w:rFonts w:hint="eastAsia" w:ascii="仿宋" w:hAnsi="仿宋" w:eastAsia="仿宋" w:cs="仿宋"/>
          <w:sz w:val="28"/>
          <w:szCs w:val="28"/>
        </w:rPr>
      </w:pPr>
      <w:r>
        <w:rPr>
          <w:rFonts w:hint="eastAsia" w:ascii="仿宋" w:hAnsi="仿宋" w:eastAsia="仿宋" w:cs="仿宋"/>
          <w:sz w:val="28"/>
          <w:szCs w:val="28"/>
        </w:rPr>
        <w:t>第</w:t>
      </w:r>
      <w:r>
        <w:rPr>
          <w:rFonts w:hint="eastAsia" w:ascii="仿宋" w:hAnsi="仿宋" w:eastAsia="仿宋" w:cs="仿宋"/>
          <w:sz w:val="28"/>
          <w:szCs w:val="28"/>
          <w:lang w:val="en-US" w:eastAsia="zh-CN"/>
        </w:rPr>
        <w:t>六</w:t>
      </w:r>
      <w:r>
        <w:rPr>
          <w:rFonts w:hint="eastAsia" w:ascii="仿宋" w:hAnsi="仿宋" w:eastAsia="仿宋" w:cs="仿宋"/>
          <w:sz w:val="28"/>
          <w:szCs w:val="28"/>
        </w:rPr>
        <w:t>节</w:t>
      </w:r>
      <w:r>
        <w:rPr>
          <w:rFonts w:hint="eastAsia" w:ascii="仿宋" w:hAnsi="仿宋" w:eastAsia="仿宋" w:cs="仿宋"/>
          <w:sz w:val="28"/>
          <w:szCs w:val="28"/>
          <w:lang w:val="en-US" w:eastAsia="zh-CN"/>
        </w:rPr>
        <w:t xml:space="preserve"> 着力培育数字经济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_Toc30346 \h </w:instrText>
      </w:r>
      <w:r>
        <w:rPr>
          <w:rFonts w:hint="eastAsia" w:ascii="仿宋" w:hAnsi="仿宋" w:eastAsia="仿宋" w:cs="仿宋"/>
          <w:sz w:val="28"/>
          <w:szCs w:val="28"/>
        </w:rPr>
        <w:fldChar w:fldCharType="separate"/>
      </w:r>
      <w:r>
        <w:rPr>
          <w:rFonts w:hint="eastAsia" w:ascii="仿宋" w:hAnsi="仿宋" w:eastAsia="仿宋" w:cs="仿宋"/>
          <w:sz w:val="28"/>
          <w:szCs w:val="28"/>
        </w:rPr>
        <w:t>36</w:t>
      </w:r>
      <w:r>
        <w:rPr>
          <w:rFonts w:hint="eastAsia" w:ascii="仿宋" w:hAnsi="仿宋" w:eastAsia="仿宋" w:cs="仿宋"/>
          <w:sz w:val="28"/>
          <w:szCs w:val="28"/>
        </w:rPr>
        <w:fldChar w:fldCharType="end"/>
      </w:r>
    </w:p>
    <w:p w14:paraId="688C3F25">
      <w:pPr>
        <w:pStyle w:val="4"/>
        <w:tabs>
          <w:tab w:val="right" w:leader="dot" w:pos="8306"/>
        </w:tabs>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第四章 坚持扩大内需，在构建新发展格局中实现更大作为</w:t>
      </w:r>
      <w:r>
        <w:rPr>
          <w:rFonts w:hint="eastAsia" w:ascii="黑体" w:hAnsi="黑体" w:eastAsia="黑体" w:cs="黑体"/>
          <w:kern w:val="2"/>
          <w:sz w:val="28"/>
          <w:szCs w:val="28"/>
          <w:lang w:val="en-US" w:eastAsia="zh-CN" w:bidi="ar-SA"/>
        </w:rPr>
        <w:tab/>
      </w:r>
      <w:r>
        <w:rPr>
          <w:rFonts w:hint="eastAsia" w:ascii="黑体" w:hAnsi="黑体" w:eastAsia="黑体" w:cs="黑体"/>
          <w:kern w:val="2"/>
          <w:sz w:val="28"/>
          <w:szCs w:val="28"/>
          <w:lang w:val="en-US" w:eastAsia="zh-CN" w:bidi="ar-SA"/>
        </w:rPr>
        <w:fldChar w:fldCharType="begin"/>
      </w:r>
      <w:r>
        <w:rPr>
          <w:rFonts w:hint="eastAsia" w:ascii="黑体" w:hAnsi="黑体" w:eastAsia="黑体" w:cs="黑体"/>
          <w:kern w:val="2"/>
          <w:sz w:val="28"/>
          <w:szCs w:val="28"/>
          <w:lang w:val="en-US" w:eastAsia="zh-CN" w:bidi="ar-SA"/>
        </w:rPr>
        <w:instrText xml:space="preserve"> PAGEREF _Toc23919 \h </w:instrText>
      </w:r>
      <w:r>
        <w:rPr>
          <w:rFonts w:hint="eastAsia" w:ascii="黑体" w:hAnsi="黑体" w:eastAsia="黑体" w:cs="黑体"/>
          <w:kern w:val="2"/>
          <w:sz w:val="28"/>
          <w:szCs w:val="28"/>
          <w:lang w:val="en-US" w:eastAsia="zh-CN" w:bidi="ar-SA"/>
        </w:rPr>
        <w:fldChar w:fldCharType="separate"/>
      </w:r>
      <w:r>
        <w:rPr>
          <w:rFonts w:hint="eastAsia" w:ascii="黑体" w:hAnsi="黑体" w:eastAsia="黑体" w:cs="黑体"/>
          <w:kern w:val="2"/>
          <w:sz w:val="28"/>
          <w:szCs w:val="28"/>
          <w:lang w:val="en-US" w:eastAsia="zh-CN" w:bidi="ar-SA"/>
        </w:rPr>
        <w:t>40</w:t>
      </w:r>
      <w:r>
        <w:rPr>
          <w:rFonts w:hint="eastAsia" w:ascii="黑体" w:hAnsi="黑体" w:eastAsia="黑体" w:cs="黑体"/>
          <w:kern w:val="2"/>
          <w:sz w:val="28"/>
          <w:szCs w:val="28"/>
          <w:lang w:val="en-US" w:eastAsia="zh-CN" w:bidi="ar-SA"/>
        </w:rPr>
        <w:fldChar w:fldCharType="end"/>
      </w:r>
    </w:p>
    <w:p w14:paraId="7173CCBD">
      <w:pPr>
        <w:pStyle w:val="16"/>
        <w:tabs>
          <w:tab w:val="right" w:leader="dot" w:pos="8306"/>
        </w:tabs>
        <w:rPr>
          <w:rFonts w:hint="eastAsia" w:ascii="仿宋" w:hAnsi="仿宋" w:eastAsia="仿宋" w:cs="仿宋"/>
          <w:sz w:val="28"/>
          <w:szCs w:val="28"/>
        </w:rPr>
      </w:pPr>
      <w:r>
        <w:rPr>
          <w:rFonts w:hint="eastAsia" w:ascii="仿宋" w:hAnsi="仿宋" w:eastAsia="仿宋" w:cs="仿宋"/>
          <w:sz w:val="28"/>
          <w:szCs w:val="28"/>
        </w:rPr>
        <w:t>第一节</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精准扩大有效投资</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_Toc32154 \h </w:instrText>
      </w:r>
      <w:r>
        <w:rPr>
          <w:rFonts w:hint="eastAsia" w:ascii="仿宋" w:hAnsi="仿宋" w:eastAsia="仿宋" w:cs="仿宋"/>
          <w:sz w:val="28"/>
          <w:szCs w:val="28"/>
        </w:rPr>
        <w:fldChar w:fldCharType="separate"/>
      </w:r>
      <w:r>
        <w:rPr>
          <w:rFonts w:hint="eastAsia" w:ascii="仿宋" w:hAnsi="仿宋" w:eastAsia="仿宋" w:cs="仿宋"/>
          <w:sz w:val="28"/>
          <w:szCs w:val="28"/>
        </w:rPr>
        <w:t>40</w:t>
      </w:r>
      <w:r>
        <w:rPr>
          <w:rFonts w:hint="eastAsia" w:ascii="仿宋" w:hAnsi="仿宋" w:eastAsia="仿宋" w:cs="仿宋"/>
          <w:sz w:val="28"/>
          <w:szCs w:val="28"/>
        </w:rPr>
        <w:fldChar w:fldCharType="end"/>
      </w:r>
    </w:p>
    <w:p w14:paraId="01B428F1">
      <w:pPr>
        <w:pStyle w:val="16"/>
        <w:tabs>
          <w:tab w:val="right" w:leader="dot" w:pos="8306"/>
        </w:tabs>
        <w:rPr>
          <w:rFonts w:hint="eastAsia" w:ascii="仿宋" w:hAnsi="仿宋" w:eastAsia="仿宋" w:cs="仿宋"/>
          <w:sz w:val="28"/>
          <w:szCs w:val="28"/>
        </w:rPr>
      </w:pPr>
      <w:r>
        <w:rPr>
          <w:rFonts w:hint="eastAsia" w:ascii="仿宋" w:hAnsi="仿宋" w:eastAsia="仿宋" w:cs="仿宋"/>
          <w:sz w:val="28"/>
          <w:szCs w:val="28"/>
        </w:rPr>
        <w:t>第二节</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着力优化市场供给</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_Toc8375 \h </w:instrText>
      </w:r>
      <w:r>
        <w:rPr>
          <w:rFonts w:hint="eastAsia" w:ascii="仿宋" w:hAnsi="仿宋" w:eastAsia="仿宋" w:cs="仿宋"/>
          <w:sz w:val="28"/>
          <w:szCs w:val="28"/>
        </w:rPr>
        <w:fldChar w:fldCharType="separate"/>
      </w:r>
      <w:r>
        <w:rPr>
          <w:rFonts w:hint="eastAsia" w:ascii="仿宋" w:hAnsi="仿宋" w:eastAsia="仿宋" w:cs="仿宋"/>
          <w:sz w:val="28"/>
          <w:szCs w:val="28"/>
        </w:rPr>
        <w:t>42</w:t>
      </w:r>
      <w:r>
        <w:rPr>
          <w:rFonts w:hint="eastAsia" w:ascii="仿宋" w:hAnsi="仿宋" w:eastAsia="仿宋" w:cs="仿宋"/>
          <w:sz w:val="28"/>
          <w:szCs w:val="28"/>
        </w:rPr>
        <w:fldChar w:fldCharType="end"/>
      </w:r>
    </w:p>
    <w:p w14:paraId="0DEAAAE1">
      <w:pPr>
        <w:pStyle w:val="16"/>
        <w:tabs>
          <w:tab w:val="right" w:leader="dot" w:pos="8306"/>
        </w:tabs>
        <w:rPr>
          <w:rFonts w:hint="eastAsia" w:ascii="仿宋" w:hAnsi="仿宋" w:eastAsia="仿宋" w:cs="仿宋"/>
          <w:sz w:val="28"/>
          <w:szCs w:val="28"/>
        </w:rPr>
      </w:pPr>
      <w:r>
        <w:rPr>
          <w:rFonts w:hint="eastAsia" w:ascii="仿宋" w:hAnsi="仿宋" w:eastAsia="仿宋" w:cs="仿宋"/>
          <w:sz w:val="28"/>
          <w:szCs w:val="28"/>
        </w:rPr>
        <w:t>第三节</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充分释放消费潜力</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_Toc26099 \h </w:instrText>
      </w:r>
      <w:r>
        <w:rPr>
          <w:rFonts w:hint="eastAsia" w:ascii="仿宋" w:hAnsi="仿宋" w:eastAsia="仿宋" w:cs="仿宋"/>
          <w:sz w:val="28"/>
          <w:szCs w:val="28"/>
        </w:rPr>
        <w:fldChar w:fldCharType="separate"/>
      </w:r>
      <w:r>
        <w:rPr>
          <w:rFonts w:hint="eastAsia" w:ascii="仿宋" w:hAnsi="仿宋" w:eastAsia="仿宋" w:cs="仿宋"/>
          <w:sz w:val="28"/>
          <w:szCs w:val="28"/>
        </w:rPr>
        <w:t>43</w:t>
      </w:r>
      <w:r>
        <w:rPr>
          <w:rFonts w:hint="eastAsia" w:ascii="仿宋" w:hAnsi="仿宋" w:eastAsia="仿宋" w:cs="仿宋"/>
          <w:sz w:val="28"/>
          <w:szCs w:val="28"/>
        </w:rPr>
        <w:fldChar w:fldCharType="end"/>
      </w:r>
    </w:p>
    <w:p w14:paraId="6C2350F1">
      <w:pPr>
        <w:pStyle w:val="4"/>
        <w:tabs>
          <w:tab w:val="right" w:leader="dot" w:pos="8306"/>
        </w:tabs>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第五章 坚持开放融入，在一体化进程中实现更大发展</w:t>
      </w:r>
      <w:r>
        <w:rPr>
          <w:rFonts w:hint="eastAsia" w:ascii="黑体" w:hAnsi="黑体" w:eastAsia="黑体" w:cs="黑体"/>
          <w:kern w:val="2"/>
          <w:sz w:val="28"/>
          <w:szCs w:val="28"/>
          <w:lang w:val="en-US" w:eastAsia="zh-CN" w:bidi="ar-SA"/>
        </w:rPr>
        <w:tab/>
      </w:r>
      <w:r>
        <w:rPr>
          <w:rFonts w:hint="eastAsia" w:ascii="黑体" w:hAnsi="黑体" w:eastAsia="黑体" w:cs="黑体"/>
          <w:kern w:val="2"/>
          <w:sz w:val="28"/>
          <w:szCs w:val="28"/>
          <w:lang w:val="en-US" w:eastAsia="zh-CN" w:bidi="ar-SA"/>
        </w:rPr>
        <w:fldChar w:fldCharType="begin"/>
      </w:r>
      <w:r>
        <w:rPr>
          <w:rFonts w:hint="eastAsia" w:ascii="黑体" w:hAnsi="黑体" w:eastAsia="黑体" w:cs="黑体"/>
          <w:kern w:val="2"/>
          <w:sz w:val="28"/>
          <w:szCs w:val="28"/>
          <w:lang w:val="en-US" w:eastAsia="zh-CN" w:bidi="ar-SA"/>
        </w:rPr>
        <w:instrText xml:space="preserve"> PAGEREF _Toc7738 \h </w:instrText>
      </w:r>
      <w:r>
        <w:rPr>
          <w:rFonts w:hint="eastAsia" w:ascii="黑体" w:hAnsi="黑体" w:eastAsia="黑体" w:cs="黑体"/>
          <w:kern w:val="2"/>
          <w:sz w:val="28"/>
          <w:szCs w:val="28"/>
          <w:lang w:val="en-US" w:eastAsia="zh-CN" w:bidi="ar-SA"/>
        </w:rPr>
        <w:fldChar w:fldCharType="separate"/>
      </w:r>
      <w:r>
        <w:rPr>
          <w:rFonts w:hint="eastAsia" w:ascii="黑体" w:hAnsi="黑体" w:eastAsia="黑体" w:cs="黑体"/>
          <w:kern w:val="2"/>
          <w:sz w:val="28"/>
          <w:szCs w:val="28"/>
          <w:lang w:val="en-US" w:eastAsia="zh-CN" w:bidi="ar-SA"/>
        </w:rPr>
        <w:t>46</w:t>
      </w:r>
      <w:r>
        <w:rPr>
          <w:rFonts w:hint="eastAsia" w:ascii="黑体" w:hAnsi="黑体" w:eastAsia="黑体" w:cs="黑体"/>
          <w:kern w:val="2"/>
          <w:sz w:val="28"/>
          <w:szCs w:val="28"/>
          <w:lang w:val="en-US" w:eastAsia="zh-CN" w:bidi="ar-SA"/>
        </w:rPr>
        <w:fldChar w:fldCharType="end"/>
      </w:r>
    </w:p>
    <w:p w14:paraId="2215DBD9">
      <w:pPr>
        <w:pStyle w:val="16"/>
        <w:tabs>
          <w:tab w:val="right" w:leader="dot" w:pos="8306"/>
        </w:tabs>
        <w:rPr>
          <w:rFonts w:hint="eastAsia" w:ascii="仿宋" w:hAnsi="仿宋" w:eastAsia="仿宋" w:cs="仿宋"/>
          <w:sz w:val="28"/>
          <w:szCs w:val="28"/>
        </w:rPr>
      </w:pPr>
      <w:r>
        <w:rPr>
          <w:rFonts w:hint="eastAsia" w:ascii="仿宋" w:hAnsi="仿宋" w:eastAsia="仿宋" w:cs="仿宋"/>
          <w:sz w:val="28"/>
          <w:szCs w:val="28"/>
        </w:rPr>
        <w:t>第一节 优化双向开放布局</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_Toc25184 \h </w:instrText>
      </w:r>
      <w:r>
        <w:rPr>
          <w:rFonts w:hint="eastAsia" w:ascii="仿宋" w:hAnsi="仿宋" w:eastAsia="仿宋" w:cs="仿宋"/>
          <w:sz w:val="28"/>
          <w:szCs w:val="28"/>
        </w:rPr>
        <w:fldChar w:fldCharType="separate"/>
      </w:r>
      <w:r>
        <w:rPr>
          <w:rFonts w:hint="eastAsia" w:ascii="仿宋" w:hAnsi="仿宋" w:eastAsia="仿宋" w:cs="仿宋"/>
          <w:sz w:val="28"/>
          <w:szCs w:val="28"/>
        </w:rPr>
        <w:t>46</w:t>
      </w:r>
      <w:r>
        <w:rPr>
          <w:rFonts w:hint="eastAsia" w:ascii="仿宋" w:hAnsi="仿宋" w:eastAsia="仿宋" w:cs="仿宋"/>
          <w:sz w:val="28"/>
          <w:szCs w:val="28"/>
        </w:rPr>
        <w:fldChar w:fldCharType="end"/>
      </w:r>
    </w:p>
    <w:p w14:paraId="43AAB386">
      <w:pPr>
        <w:pStyle w:val="16"/>
        <w:tabs>
          <w:tab w:val="right" w:leader="dot" w:pos="8306"/>
        </w:tabs>
        <w:rPr>
          <w:rFonts w:hint="eastAsia" w:ascii="仿宋" w:hAnsi="仿宋" w:eastAsia="仿宋" w:cs="仿宋"/>
          <w:sz w:val="28"/>
          <w:szCs w:val="28"/>
        </w:rPr>
      </w:pPr>
      <w:r>
        <w:rPr>
          <w:rFonts w:hint="eastAsia" w:ascii="仿宋" w:hAnsi="仿宋" w:eastAsia="仿宋" w:cs="仿宋"/>
          <w:sz w:val="28"/>
          <w:szCs w:val="28"/>
        </w:rPr>
        <w:t>第二节 接力安庆主城区</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_Toc47 \h </w:instrText>
      </w:r>
      <w:r>
        <w:rPr>
          <w:rFonts w:hint="eastAsia" w:ascii="仿宋" w:hAnsi="仿宋" w:eastAsia="仿宋" w:cs="仿宋"/>
          <w:sz w:val="28"/>
          <w:szCs w:val="28"/>
        </w:rPr>
        <w:fldChar w:fldCharType="separate"/>
      </w:r>
      <w:r>
        <w:rPr>
          <w:rFonts w:hint="eastAsia" w:ascii="仿宋" w:hAnsi="仿宋" w:eastAsia="仿宋" w:cs="仿宋"/>
          <w:sz w:val="28"/>
          <w:szCs w:val="28"/>
        </w:rPr>
        <w:t>47</w:t>
      </w:r>
      <w:r>
        <w:rPr>
          <w:rFonts w:hint="eastAsia" w:ascii="仿宋" w:hAnsi="仿宋" w:eastAsia="仿宋" w:cs="仿宋"/>
          <w:sz w:val="28"/>
          <w:szCs w:val="28"/>
        </w:rPr>
        <w:fldChar w:fldCharType="end"/>
      </w:r>
    </w:p>
    <w:p w14:paraId="7A018304">
      <w:pPr>
        <w:pStyle w:val="16"/>
        <w:tabs>
          <w:tab w:val="right" w:leader="dot" w:pos="8306"/>
        </w:tabs>
        <w:rPr>
          <w:rFonts w:hint="eastAsia" w:ascii="仿宋" w:hAnsi="仿宋" w:eastAsia="仿宋" w:cs="仿宋"/>
          <w:sz w:val="28"/>
          <w:szCs w:val="28"/>
        </w:rPr>
      </w:pPr>
      <w:r>
        <w:rPr>
          <w:rFonts w:hint="eastAsia" w:ascii="仿宋" w:hAnsi="仿宋" w:eastAsia="仿宋" w:cs="仿宋"/>
          <w:sz w:val="28"/>
          <w:szCs w:val="28"/>
        </w:rPr>
        <w:t>第三节 深度融入合肥都市圈</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_Toc5231 \h </w:instrText>
      </w:r>
      <w:r>
        <w:rPr>
          <w:rFonts w:hint="eastAsia" w:ascii="仿宋" w:hAnsi="仿宋" w:eastAsia="仿宋" w:cs="仿宋"/>
          <w:sz w:val="28"/>
          <w:szCs w:val="28"/>
        </w:rPr>
        <w:fldChar w:fldCharType="separate"/>
      </w:r>
      <w:r>
        <w:rPr>
          <w:rFonts w:hint="eastAsia" w:ascii="仿宋" w:hAnsi="仿宋" w:eastAsia="仿宋" w:cs="仿宋"/>
          <w:sz w:val="28"/>
          <w:szCs w:val="28"/>
        </w:rPr>
        <w:t>48</w:t>
      </w:r>
      <w:r>
        <w:rPr>
          <w:rFonts w:hint="eastAsia" w:ascii="仿宋" w:hAnsi="仿宋" w:eastAsia="仿宋" w:cs="仿宋"/>
          <w:sz w:val="28"/>
          <w:szCs w:val="28"/>
        </w:rPr>
        <w:fldChar w:fldCharType="end"/>
      </w:r>
    </w:p>
    <w:p w14:paraId="55BA7344">
      <w:pPr>
        <w:pStyle w:val="16"/>
        <w:tabs>
          <w:tab w:val="right" w:leader="dot" w:pos="8306"/>
        </w:tabs>
        <w:rPr>
          <w:rFonts w:hint="eastAsia" w:ascii="仿宋" w:hAnsi="仿宋" w:eastAsia="仿宋" w:cs="仿宋"/>
          <w:sz w:val="28"/>
          <w:szCs w:val="28"/>
        </w:rPr>
      </w:pPr>
      <w:r>
        <w:rPr>
          <w:rFonts w:hint="eastAsia" w:ascii="仿宋" w:hAnsi="仿宋" w:eastAsia="仿宋" w:cs="仿宋"/>
          <w:sz w:val="28"/>
          <w:szCs w:val="28"/>
        </w:rPr>
        <w:t>第四节</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积极融入长三角一体化发展</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_Toc18772 \h </w:instrText>
      </w:r>
      <w:r>
        <w:rPr>
          <w:rFonts w:hint="eastAsia" w:ascii="仿宋" w:hAnsi="仿宋" w:eastAsia="仿宋" w:cs="仿宋"/>
          <w:sz w:val="28"/>
          <w:szCs w:val="28"/>
        </w:rPr>
        <w:fldChar w:fldCharType="separate"/>
      </w:r>
      <w:r>
        <w:rPr>
          <w:rFonts w:hint="eastAsia" w:ascii="仿宋" w:hAnsi="仿宋" w:eastAsia="仿宋" w:cs="仿宋"/>
          <w:sz w:val="28"/>
          <w:szCs w:val="28"/>
        </w:rPr>
        <w:t>48</w:t>
      </w:r>
      <w:r>
        <w:rPr>
          <w:rFonts w:hint="eastAsia" w:ascii="仿宋" w:hAnsi="仿宋" w:eastAsia="仿宋" w:cs="仿宋"/>
          <w:sz w:val="28"/>
          <w:szCs w:val="28"/>
        </w:rPr>
        <w:fldChar w:fldCharType="end"/>
      </w:r>
    </w:p>
    <w:p w14:paraId="4D49D3D5">
      <w:pPr>
        <w:pStyle w:val="4"/>
        <w:tabs>
          <w:tab w:val="right" w:leader="dot" w:pos="8306"/>
        </w:tabs>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第六章 推进乡村振兴，提升农业农村现代化水平</w:t>
      </w:r>
      <w:r>
        <w:rPr>
          <w:rFonts w:hint="eastAsia" w:ascii="黑体" w:hAnsi="黑体" w:eastAsia="黑体" w:cs="黑体"/>
          <w:kern w:val="2"/>
          <w:sz w:val="28"/>
          <w:szCs w:val="28"/>
          <w:lang w:val="en-US" w:eastAsia="zh-CN" w:bidi="ar-SA"/>
        </w:rPr>
        <w:tab/>
      </w:r>
      <w:r>
        <w:rPr>
          <w:rFonts w:hint="eastAsia" w:ascii="黑体" w:hAnsi="黑体" w:eastAsia="黑体" w:cs="黑体"/>
          <w:kern w:val="2"/>
          <w:sz w:val="28"/>
          <w:szCs w:val="28"/>
          <w:lang w:val="en-US" w:eastAsia="zh-CN" w:bidi="ar-SA"/>
        </w:rPr>
        <w:fldChar w:fldCharType="begin"/>
      </w:r>
      <w:r>
        <w:rPr>
          <w:rFonts w:hint="eastAsia" w:ascii="黑体" w:hAnsi="黑体" w:eastAsia="黑体" w:cs="黑体"/>
          <w:kern w:val="2"/>
          <w:sz w:val="28"/>
          <w:szCs w:val="28"/>
          <w:lang w:val="en-US" w:eastAsia="zh-CN" w:bidi="ar-SA"/>
        </w:rPr>
        <w:instrText xml:space="preserve"> PAGEREF _Toc26026 \h </w:instrText>
      </w:r>
      <w:r>
        <w:rPr>
          <w:rFonts w:hint="eastAsia" w:ascii="黑体" w:hAnsi="黑体" w:eastAsia="黑体" w:cs="黑体"/>
          <w:kern w:val="2"/>
          <w:sz w:val="28"/>
          <w:szCs w:val="28"/>
          <w:lang w:val="en-US" w:eastAsia="zh-CN" w:bidi="ar-SA"/>
        </w:rPr>
        <w:fldChar w:fldCharType="separate"/>
      </w:r>
      <w:r>
        <w:rPr>
          <w:rFonts w:hint="eastAsia" w:ascii="黑体" w:hAnsi="黑体" w:eastAsia="黑体" w:cs="黑体"/>
          <w:kern w:val="2"/>
          <w:sz w:val="28"/>
          <w:szCs w:val="28"/>
          <w:lang w:val="en-US" w:eastAsia="zh-CN" w:bidi="ar-SA"/>
        </w:rPr>
        <w:t>50</w:t>
      </w:r>
      <w:r>
        <w:rPr>
          <w:rFonts w:hint="eastAsia" w:ascii="黑体" w:hAnsi="黑体" w:eastAsia="黑体" w:cs="黑体"/>
          <w:kern w:val="2"/>
          <w:sz w:val="28"/>
          <w:szCs w:val="28"/>
          <w:lang w:val="en-US" w:eastAsia="zh-CN" w:bidi="ar-SA"/>
        </w:rPr>
        <w:fldChar w:fldCharType="end"/>
      </w:r>
    </w:p>
    <w:p w14:paraId="1C1C14B5">
      <w:pPr>
        <w:pStyle w:val="16"/>
        <w:tabs>
          <w:tab w:val="right" w:leader="dot" w:pos="8306"/>
        </w:tabs>
        <w:rPr>
          <w:rFonts w:hint="eastAsia" w:ascii="仿宋" w:hAnsi="仿宋" w:eastAsia="仿宋" w:cs="仿宋"/>
          <w:sz w:val="28"/>
          <w:szCs w:val="28"/>
        </w:rPr>
      </w:pPr>
      <w:r>
        <w:rPr>
          <w:rFonts w:hint="eastAsia" w:ascii="仿宋" w:hAnsi="仿宋" w:eastAsia="仿宋" w:cs="仿宋"/>
          <w:sz w:val="28"/>
          <w:szCs w:val="28"/>
        </w:rPr>
        <w:t>第一节</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提高农业质量规模效益</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_Toc28614 \h </w:instrText>
      </w:r>
      <w:r>
        <w:rPr>
          <w:rFonts w:hint="eastAsia" w:ascii="仿宋" w:hAnsi="仿宋" w:eastAsia="仿宋" w:cs="仿宋"/>
          <w:sz w:val="28"/>
          <w:szCs w:val="28"/>
        </w:rPr>
        <w:fldChar w:fldCharType="separate"/>
      </w:r>
      <w:r>
        <w:rPr>
          <w:rFonts w:hint="eastAsia" w:ascii="仿宋" w:hAnsi="仿宋" w:eastAsia="仿宋" w:cs="仿宋"/>
          <w:sz w:val="28"/>
          <w:szCs w:val="28"/>
        </w:rPr>
        <w:t>50</w:t>
      </w:r>
      <w:r>
        <w:rPr>
          <w:rFonts w:hint="eastAsia" w:ascii="仿宋" w:hAnsi="仿宋" w:eastAsia="仿宋" w:cs="仿宋"/>
          <w:sz w:val="28"/>
          <w:szCs w:val="28"/>
        </w:rPr>
        <w:fldChar w:fldCharType="end"/>
      </w:r>
    </w:p>
    <w:p w14:paraId="0442C9FC">
      <w:pPr>
        <w:pStyle w:val="16"/>
        <w:tabs>
          <w:tab w:val="right" w:leader="dot" w:pos="8306"/>
        </w:tabs>
        <w:rPr>
          <w:rFonts w:hint="eastAsia" w:ascii="仿宋" w:hAnsi="仿宋" w:eastAsia="仿宋" w:cs="仿宋"/>
          <w:sz w:val="28"/>
          <w:szCs w:val="28"/>
        </w:rPr>
      </w:pPr>
      <w:r>
        <w:rPr>
          <w:rFonts w:hint="eastAsia" w:ascii="仿宋" w:hAnsi="仿宋" w:eastAsia="仿宋" w:cs="仿宋"/>
          <w:sz w:val="28"/>
          <w:szCs w:val="28"/>
        </w:rPr>
        <w:t>第二节</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实施乡村建设行动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_Toc17290 \h </w:instrText>
      </w:r>
      <w:r>
        <w:rPr>
          <w:rFonts w:hint="eastAsia" w:ascii="仿宋" w:hAnsi="仿宋" w:eastAsia="仿宋" w:cs="仿宋"/>
          <w:sz w:val="28"/>
          <w:szCs w:val="28"/>
        </w:rPr>
        <w:fldChar w:fldCharType="separate"/>
      </w:r>
      <w:r>
        <w:rPr>
          <w:rFonts w:hint="eastAsia" w:ascii="仿宋" w:hAnsi="仿宋" w:eastAsia="仿宋" w:cs="仿宋"/>
          <w:sz w:val="28"/>
          <w:szCs w:val="28"/>
        </w:rPr>
        <w:t>54</w:t>
      </w:r>
      <w:r>
        <w:rPr>
          <w:rFonts w:hint="eastAsia" w:ascii="仿宋" w:hAnsi="仿宋" w:eastAsia="仿宋" w:cs="仿宋"/>
          <w:sz w:val="28"/>
          <w:szCs w:val="28"/>
        </w:rPr>
        <w:fldChar w:fldCharType="end"/>
      </w:r>
    </w:p>
    <w:p w14:paraId="0132232A">
      <w:pPr>
        <w:pStyle w:val="16"/>
        <w:tabs>
          <w:tab w:val="right" w:leader="dot" w:pos="8306"/>
        </w:tabs>
        <w:rPr>
          <w:rFonts w:hint="eastAsia" w:ascii="仿宋" w:hAnsi="仿宋" w:eastAsia="仿宋" w:cs="仿宋"/>
          <w:sz w:val="28"/>
          <w:szCs w:val="28"/>
        </w:rPr>
      </w:pPr>
      <w:r>
        <w:rPr>
          <w:rFonts w:hint="eastAsia" w:ascii="仿宋" w:hAnsi="仿宋" w:eastAsia="仿宋" w:cs="仿宋"/>
          <w:sz w:val="28"/>
          <w:szCs w:val="28"/>
        </w:rPr>
        <w:t>第三节</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深化农村改革</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_Toc934 \h </w:instrText>
      </w:r>
      <w:r>
        <w:rPr>
          <w:rFonts w:hint="eastAsia" w:ascii="仿宋" w:hAnsi="仿宋" w:eastAsia="仿宋" w:cs="仿宋"/>
          <w:sz w:val="28"/>
          <w:szCs w:val="28"/>
        </w:rPr>
        <w:fldChar w:fldCharType="separate"/>
      </w:r>
      <w:r>
        <w:rPr>
          <w:rFonts w:hint="eastAsia" w:ascii="仿宋" w:hAnsi="仿宋" w:eastAsia="仿宋" w:cs="仿宋"/>
          <w:sz w:val="28"/>
          <w:szCs w:val="28"/>
        </w:rPr>
        <w:t>56</w:t>
      </w:r>
      <w:r>
        <w:rPr>
          <w:rFonts w:hint="eastAsia" w:ascii="仿宋" w:hAnsi="仿宋" w:eastAsia="仿宋" w:cs="仿宋"/>
          <w:sz w:val="28"/>
          <w:szCs w:val="28"/>
        </w:rPr>
        <w:fldChar w:fldCharType="end"/>
      </w:r>
    </w:p>
    <w:p w14:paraId="477781A3">
      <w:pPr>
        <w:pStyle w:val="16"/>
        <w:tabs>
          <w:tab w:val="right" w:leader="dot" w:pos="8306"/>
        </w:tabs>
        <w:rPr>
          <w:rFonts w:hint="eastAsia" w:ascii="仿宋" w:hAnsi="仿宋" w:eastAsia="仿宋" w:cs="仿宋"/>
          <w:sz w:val="28"/>
          <w:szCs w:val="28"/>
        </w:rPr>
      </w:pPr>
      <w:r>
        <w:rPr>
          <w:rFonts w:hint="eastAsia" w:ascii="仿宋" w:hAnsi="仿宋" w:eastAsia="仿宋" w:cs="仿宋"/>
          <w:sz w:val="28"/>
          <w:szCs w:val="28"/>
        </w:rPr>
        <w:t>第四节</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实现巩固脱贫成果与乡村振兴有效衔接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_Toc7183 \h </w:instrText>
      </w:r>
      <w:r>
        <w:rPr>
          <w:rFonts w:hint="eastAsia" w:ascii="仿宋" w:hAnsi="仿宋" w:eastAsia="仿宋" w:cs="仿宋"/>
          <w:sz w:val="28"/>
          <w:szCs w:val="28"/>
        </w:rPr>
        <w:fldChar w:fldCharType="separate"/>
      </w:r>
      <w:r>
        <w:rPr>
          <w:rFonts w:hint="eastAsia" w:ascii="仿宋" w:hAnsi="仿宋" w:eastAsia="仿宋" w:cs="仿宋"/>
          <w:sz w:val="28"/>
          <w:szCs w:val="28"/>
        </w:rPr>
        <w:t>57</w:t>
      </w:r>
      <w:r>
        <w:rPr>
          <w:rFonts w:hint="eastAsia" w:ascii="仿宋" w:hAnsi="仿宋" w:eastAsia="仿宋" w:cs="仿宋"/>
          <w:sz w:val="28"/>
          <w:szCs w:val="28"/>
        </w:rPr>
        <w:fldChar w:fldCharType="end"/>
      </w:r>
    </w:p>
    <w:p w14:paraId="6EAB9EF6">
      <w:pPr>
        <w:pStyle w:val="4"/>
        <w:tabs>
          <w:tab w:val="right" w:leader="dot" w:pos="8306"/>
        </w:tabs>
        <w:rPr>
          <w:rFonts w:hint="eastAsia" w:ascii="仿宋" w:hAnsi="仿宋" w:eastAsia="仿宋" w:cs="仿宋"/>
          <w:sz w:val="28"/>
          <w:szCs w:val="28"/>
        </w:rPr>
      </w:pPr>
      <w:r>
        <w:rPr>
          <w:rFonts w:hint="eastAsia" w:ascii="黑体" w:hAnsi="黑体" w:eastAsia="黑体" w:cs="黑体"/>
          <w:kern w:val="2"/>
          <w:sz w:val="28"/>
          <w:szCs w:val="28"/>
          <w:lang w:val="en-US" w:eastAsia="zh-CN" w:bidi="ar-SA"/>
        </w:rPr>
        <w:t>第七章 优化空间格局，促进城乡区域协调发展</w:t>
      </w:r>
      <w:r>
        <w:rPr>
          <w:rFonts w:hint="eastAsia" w:ascii="黑体" w:hAnsi="黑体" w:eastAsia="黑体" w:cs="黑体"/>
          <w:kern w:val="2"/>
          <w:sz w:val="28"/>
          <w:szCs w:val="28"/>
          <w:lang w:val="en-US" w:eastAsia="zh-CN" w:bidi="ar-SA"/>
        </w:rPr>
        <w:tab/>
      </w:r>
      <w:r>
        <w:rPr>
          <w:rFonts w:hint="eastAsia" w:ascii="黑体" w:hAnsi="黑体" w:eastAsia="黑体" w:cs="黑体"/>
          <w:kern w:val="2"/>
          <w:sz w:val="28"/>
          <w:szCs w:val="28"/>
          <w:lang w:val="en-US" w:eastAsia="zh-CN" w:bidi="ar-SA"/>
        </w:rPr>
        <w:fldChar w:fldCharType="begin"/>
      </w:r>
      <w:r>
        <w:rPr>
          <w:rFonts w:hint="eastAsia" w:ascii="黑体" w:hAnsi="黑体" w:eastAsia="黑体" w:cs="黑体"/>
          <w:kern w:val="2"/>
          <w:sz w:val="28"/>
          <w:szCs w:val="28"/>
          <w:lang w:val="en-US" w:eastAsia="zh-CN" w:bidi="ar-SA"/>
        </w:rPr>
        <w:instrText xml:space="preserve"> PAGEREF _Toc26568 \h </w:instrText>
      </w:r>
      <w:r>
        <w:rPr>
          <w:rFonts w:hint="eastAsia" w:ascii="黑体" w:hAnsi="黑体" w:eastAsia="黑体" w:cs="黑体"/>
          <w:kern w:val="2"/>
          <w:sz w:val="28"/>
          <w:szCs w:val="28"/>
          <w:lang w:val="en-US" w:eastAsia="zh-CN" w:bidi="ar-SA"/>
        </w:rPr>
        <w:fldChar w:fldCharType="separate"/>
      </w:r>
      <w:r>
        <w:rPr>
          <w:rFonts w:hint="eastAsia" w:ascii="黑体" w:hAnsi="黑体" w:eastAsia="黑体" w:cs="黑体"/>
          <w:kern w:val="2"/>
          <w:sz w:val="28"/>
          <w:szCs w:val="28"/>
          <w:lang w:val="en-US" w:eastAsia="zh-CN" w:bidi="ar-SA"/>
        </w:rPr>
        <w:t>58</w:t>
      </w:r>
      <w:r>
        <w:rPr>
          <w:rFonts w:hint="eastAsia" w:ascii="黑体" w:hAnsi="黑体" w:eastAsia="黑体" w:cs="黑体"/>
          <w:kern w:val="2"/>
          <w:sz w:val="28"/>
          <w:szCs w:val="28"/>
          <w:lang w:val="en-US" w:eastAsia="zh-CN" w:bidi="ar-SA"/>
        </w:rPr>
        <w:fldChar w:fldCharType="end"/>
      </w:r>
    </w:p>
    <w:p w14:paraId="2FE83409">
      <w:pPr>
        <w:pStyle w:val="16"/>
        <w:tabs>
          <w:tab w:val="right" w:leader="dot" w:pos="8306"/>
        </w:tabs>
        <w:rPr>
          <w:rFonts w:hint="eastAsia" w:ascii="仿宋" w:hAnsi="仿宋" w:eastAsia="仿宋" w:cs="仿宋"/>
          <w:sz w:val="28"/>
          <w:szCs w:val="28"/>
        </w:rPr>
      </w:pPr>
      <w:r>
        <w:rPr>
          <w:rFonts w:hint="eastAsia" w:ascii="仿宋" w:hAnsi="仿宋" w:eastAsia="仿宋" w:cs="仿宋"/>
          <w:sz w:val="28"/>
          <w:szCs w:val="28"/>
        </w:rPr>
        <w:t>第一节</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优化国土空间布局</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_Toc10284 \h </w:instrText>
      </w:r>
      <w:r>
        <w:rPr>
          <w:rFonts w:hint="eastAsia" w:ascii="仿宋" w:hAnsi="仿宋" w:eastAsia="仿宋" w:cs="仿宋"/>
          <w:sz w:val="28"/>
          <w:szCs w:val="28"/>
        </w:rPr>
        <w:fldChar w:fldCharType="separate"/>
      </w:r>
      <w:r>
        <w:rPr>
          <w:rFonts w:hint="eastAsia" w:ascii="仿宋" w:hAnsi="仿宋" w:eastAsia="仿宋" w:cs="仿宋"/>
          <w:sz w:val="28"/>
          <w:szCs w:val="28"/>
        </w:rPr>
        <w:t>58</w:t>
      </w:r>
      <w:r>
        <w:rPr>
          <w:rFonts w:hint="eastAsia" w:ascii="仿宋" w:hAnsi="仿宋" w:eastAsia="仿宋" w:cs="仿宋"/>
          <w:sz w:val="28"/>
          <w:szCs w:val="28"/>
        </w:rPr>
        <w:fldChar w:fldCharType="end"/>
      </w:r>
    </w:p>
    <w:p w14:paraId="3ECF37C4">
      <w:pPr>
        <w:pStyle w:val="16"/>
        <w:tabs>
          <w:tab w:val="right" w:leader="dot" w:pos="8306"/>
        </w:tabs>
        <w:rPr>
          <w:rFonts w:hint="eastAsia" w:ascii="仿宋" w:hAnsi="仿宋" w:eastAsia="仿宋" w:cs="仿宋"/>
          <w:sz w:val="28"/>
          <w:szCs w:val="28"/>
        </w:rPr>
      </w:pPr>
      <w:r>
        <w:rPr>
          <w:rFonts w:hint="eastAsia" w:ascii="仿宋" w:hAnsi="仿宋" w:eastAsia="仿宋" w:cs="仿宋"/>
          <w:sz w:val="28"/>
          <w:szCs w:val="28"/>
        </w:rPr>
        <w:t>第二节</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加快完善新型城镇体系</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_Toc5381 \h </w:instrText>
      </w:r>
      <w:r>
        <w:rPr>
          <w:rFonts w:hint="eastAsia" w:ascii="仿宋" w:hAnsi="仿宋" w:eastAsia="仿宋" w:cs="仿宋"/>
          <w:sz w:val="28"/>
          <w:szCs w:val="28"/>
        </w:rPr>
        <w:fldChar w:fldCharType="separate"/>
      </w:r>
      <w:r>
        <w:rPr>
          <w:rFonts w:hint="eastAsia" w:ascii="仿宋" w:hAnsi="仿宋" w:eastAsia="仿宋" w:cs="仿宋"/>
          <w:sz w:val="28"/>
          <w:szCs w:val="28"/>
        </w:rPr>
        <w:t>59</w:t>
      </w:r>
      <w:r>
        <w:rPr>
          <w:rFonts w:hint="eastAsia" w:ascii="仿宋" w:hAnsi="仿宋" w:eastAsia="仿宋" w:cs="仿宋"/>
          <w:sz w:val="28"/>
          <w:szCs w:val="28"/>
        </w:rPr>
        <w:fldChar w:fldCharType="end"/>
      </w:r>
    </w:p>
    <w:p w14:paraId="5A5DB2D4">
      <w:pPr>
        <w:pStyle w:val="16"/>
        <w:tabs>
          <w:tab w:val="right" w:leader="dot" w:pos="8306"/>
        </w:tabs>
        <w:rPr>
          <w:rFonts w:hint="eastAsia" w:ascii="仿宋" w:hAnsi="仿宋" w:eastAsia="仿宋" w:cs="仿宋"/>
          <w:sz w:val="28"/>
          <w:szCs w:val="28"/>
        </w:rPr>
      </w:pPr>
      <w:r>
        <w:rPr>
          <w:rFonts w:hint="eastAsia" w:ascii="仿宋" w:hAnsi="仿宋" w:eastAsia="仿宋" w:cs="仿宋"/>
          <w:sz w:val="28"/>
          <w:szCs w:val="28"/>
        </w:rPr>
        <w:t>第三节</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推进新型城镇化建设</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_Toc14940 \h </w:instrText>
      </w:r>
      <w:r>
        <w:rPr>
          <w:rFonts w:hint="eastAsia" w:ascii="仿宋" w:hAnsi="仿宋" w:eastAsia="仿宋" w:cs="仿宋"/>
          <w:sz w:val="28"/>
          <w:szCs w:val="28"/>
        </w:rPr>
        <w:fldChar w:fldCharType="separate"/>
      </w:r>
      <w:r>
        <w:rPr>
          <w:rFonts w:hint="eastAsia" w:ascii="仿宋" w:hAnsi="仿宋" w:eastAsia="仿宋" w:cs="仿宋"/>
          <w:sz w:val="28"/>
          <w:szCs w:val="28"/>
        </w:rPr>
        <w:t>63</w:t>
      </w:r>
      <w:r>
        <w:rPr>
          <w:rFonts w:hint="eastAsia" w:ascii="仿宋" w:hAnsi="仿宋" w:eastAsia="仿宋" w:cs="仿宋"/>
          <w:sz w:val="28"/>
          <w:szCs w:val="28"/>
        </w:rPr>
        <w:fldChar w:fldCharType="end"/>
      </w:r>
    </w:p>
    <w:p w14:paraId="29BDFB4F">
      <w:pPr>
        <w:pStyle w:val="16"/>
        <w:tabs>
          <w:tab w:val="right" w:leader="dot" w:pos="8306"/>
        </w:tabs>
        <w:rPr>
          <w:rFonts w:hint="eastAsia" w:ascii="仿宋" w:hAnsi="仿宋" w:eastAsia="仿宋" w:cs="仿宋"/>
          <w:sz w:val="28"/>
          <w:szCs w:val="28"/>
        </w:rPr>
      </w:pPr>
      <w:r>
        <w:rPr>
          <w:rFonts w:hint="eastAsia" w:ascii="仿宋" w:hAnsi="仿宋" w:eastAsia="仿宋" w:cs="仿宋"/>
          <w:sz w:val="28"/>
          <w:szCs w:val="28"/>
        </w:rPr>
        <w:t>第四节</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健全城乡融合发展新机制</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_Toc25827 \h </w:instrText>
      </w:r>
      <w:r>
        <w:rPr>
          <w:rFonts w:hint="eastAsia" w:ascii="仿宋" w:hAnsi="仿宋" w:eastAsia="仿宋" w:cs="仿宋"/>
          <w:sz w:val="28"/>
          <w:szCs w:val="28"/>
        </w:rPr>
        <w:fldChar w:fldCharType="separate"/>
      </w:r>
      <w:r>
        <w:rPr>
          <w:rFonts w:hint="eastAsia" w:ascii="仿宋" w:hAnsi="仿宋" w:eastAsia="仿宋" w:cs="仿宋"/>
          <w:sz w:val="28"/>
          <w:szCs w:val="28"/>
        </w:rPr>
        <w:t>66</w:t>
      </w:r>
      <w:r>
        <w:rPr>
          <w:rFonts w:hint="eastAsia" w:ascii="仿宋" w:hAnsi="仿宋" w:eastAsia="仿宋" w:cs="仿宋"/>
          <w:sz w:val="28"/>
          <w:szCs w:val="28"/>
        </w:rPr>
        <w:fldChar w:fldCharType="end"/>
      </w:r>
    </w:p>
    <w:p w14:paraId="32A28AB7">
      <w:pPr>
        <w:pStyle w:val="4"/>
        <w:tabs>
          <w:tab w:val="right" w:leader="dot" w:pos="8306"/>
        </w:tabs>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第八章 完善基础设施，提升城乡综合承载能力</w:t>
      </w:r>
      <w:r>
        <w:rPr>
          <w:rFonts w:hint="eastAsia" w:ascii="黑体" w:hAnsi="黑体" w:eastAsia="黑体" w:cs="黑体"/>
          <w:kern w:val="2"/>
          <w:sz w:val="28"/>
          <w:szCs w:val="28"/>
          <w:lang w:val="en-US" w:eastAsia="zh-CN" w:bidi="ar-SA"/>
        </w:rPr>
        <w:tab/>
      </w:r>
      <w:r>
        <w:rPr>
          <w:rFonts w:hint="eastAsia" w:ascii="黑体" w:hAnsi="黑体" w:eastAsia="黑体" w:cs="黑体"/>
          <w:kern w:val="2"/>
          <w:sz w:val="28"/>
          <w:szCs w:val="28"/>
          <w:lang w:val="en-US" w:eastAsia="zh-CN" w:bidi="ar-SA"/>
        </w:rPr>
        <w:fldChar w:fldCharType="begin"/>
      </w:r>
      <w:r>
        <w:rPr>
          <w:rFonts w:hint="eastAsia" w:ascii="黑体" w:hAnsi="黑体" w:eastAsia="黑体" w:cs="黑体"/>
          <w:kern w:val="2"/>
          <w:sz w:val="28"/>
          <w:szCs w:val="28"/>
          <w:lang w:val="en-US" w:eastAsia="zh-CN" w:bidi="ar-SA"/>
        </w:rPr>
        <w:instrText xml:space="preserve"> PAGEREF _Toc15134 \h </w:instrText>
      </w:r>
      <w:r>
        <w:rPr>
          <w:rFonts w:hint="eastAsia" w:ascii="黑体" w:hAnsi="黑体" w:eastAsia="黑体" w:cs="黑体"/>
          <w:kern w:val="2"/>
          <w:sz w:val="28"/>
          <w:szCs w:val="28"/>
          <w:lang w:val="en-US" w:eastAsia="zh-CN" w:bidi="ar-SA"/>
        </w:rPr>
        <w:fldChar w:fldCharType="separate"/>
      </w:r>
      <w:r>
        <w:rPr>
          <w:rFonts w:hint="eastAsia" w:ascii="黑体" w:hAnsi="黑体" w:eastAsia="黑体" w:cs="黑体"/>
          <w:kern w:val="2"/>
          <w:sz w:val="28"/>
          <w:szCs w:val="28"/>
          <w:lang w:val="en-US" w:eastAsia="zh-CN" w:bidi="ar-SA"/>
        </w:rPr>
        <w:t>67</w:t>
      </w:r>
      <w:r>
        <w:rPr>
          <w:rFonts w:hint="eastAsia" w:ascii="黑体" w:hAnsi="黑体" w:eastAsia="黑体" w:cs="黑体"/>
          <w:kern w:val="2"/>
          <w:sz w:val="28"/>
          <w:szCs w:val="28"/>
          <w:lang w:val="en-US" w:eastAsia="zh-CN" w:bidi="ar-SA"/>
        </w:rPr>
        <w:fldChar w:fldCharType="end"/>
      </w:r>
    </w:p>
    <w:p w14:paraId="3726DD47">
      <w:pPr>
        <w:pStyle w:val="16"/>
        <w:tabs>
          <w:tab w:val="right" w:leader="dot" w:pos="8306"/>
        </w:tabs>
        <w:rPr>
          <w:rFonts w:hint="eastAsia" w:ascii="仿宋" w:hAnsi="仿宋" w:eastAsia="仿宋" w:cs="仿宋"/>
          <w:sz w:val="28"/>
          <w:szCs w:val="28"/>
        </w:rPr>
      </w:pPr>
      <w:r>
        <w:rPr>
          <w:rFonts w:hint="eastAsia" w:ascii="仿宋" w:hAnsi="仿宋" w:eastAsia="仿宋" w:cs="仿宋"/>
          <w:sz w:val="28"/>
          <w:szCs w:val="28"/>
        </w:rPr>
        <w:t>第一节</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加快新型基础设施建设</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_Toc1708 \h </w:instrText>
      </w:r>
      <w:r>
        <w:rPr>
          <w:rFonts w:hint="eastAsia" w:ascii="仿宋" w:hAnsi="仿宋" w:eastAsia="仿宋" w:cs="仿宋"/>
          <w:sz w:val="28"/>
          <w:szCs w:val="28"/>
        </w:rPr>
        <w:fldChar w:fldCharType="separate"/>
      </w:r>
      <w:r>
        <w:rPr>
          <w:rFonts w:hint="eastAsia" w:ascii="仿宋" w:hAnsi="仿宋" w:eastAsia="仿宋" w:cs="仿宋"/>
          <w:sz w:val="28"/>
          <w:szCs w:val="28"/>
        </w:rPr>
        <w:t>67</w:t>
      </w:r>
      <w:r>
        <w:rPr>
          <w:rFonts w:hint="eastAsia" w:ascii="仿宋" w:hAnsi="仿宋" w:eastAsia="仿宋" w:cs="仿宋"/>
          <w:sz w:val="28"/>
          <w:szCs w:val="28"/>
        </w:rPr>
        <w:fldChar w:fldCharType="end"/>
      </w:r>
    </w:p>
    <w:p w14:paraId="565E7929">
      <w:pPr>
        <w:pStyle w:val="16"/>
        <w:tabs>
          <w:tab w:val="right" w:leader="dot" w:pos="8306"/>
        </w:tabs>
        <w:rPr>
          <w:rFonts w:hint="eastAsia" w:ascii="仿宋" w:hAnsi="仿宋" w:eastAsia="仿宋" w:cs="仿宋"/>
          <w:sz w:val="28"/>
          <w:szCs w:val="28"/>
        </w:rPr>
      </w:pPr>
      <w:r>
        <w:rPr>
          <w:rFonts w:hint="eastAsia" w:ascii="仿宋" w:hAnsi="仿宋" w:eastAsia="仿宋" w:cs="仿宋"/>
          <w:sz w:val="28"/>
          <w:szCs w:val="28"/>
        </w:rPr>
        <w:t>第二节</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提升立体综合交通网络</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_Toc2612 \h </w:instrText>
      </w:r>
      <w:r>
        <w:rPr>
          <w:rFonts w:hint="eastAsia" w:ascii="仿宋" w:hAnsi="仿宋" w:eastAsia="仿宋" w:cs="仿宋"/>
          <w:sz w:val="28"/>
          <w:szCs w:val="28"/>
        </w:rPr>
        <w:fldChar w:fldCharType="separate"/>
      </w:r>
      <w:r>
        <w:rPr>
          <w:rFonts w:hint="eastAsia" w:ascii="仿宋" w:hAnsi="仿宋" w:eastAsia="仿宋" w:cs="仿宋"/>
          <w:sz w:val="28"/>
          <w:szCs w:val="28"/>
        </w:rPr>
        <w:t>68</w:t>
      </w:r>
      <w:r>
        <w:rPr>
          <w:rFonts w:hint="eastAsia" w:ascii="仿宋" w:hAnsi="仿宋" w:eastAsia="仿宋" w:cs="仿宋"/>
          <w:sz w:val="28"/>
          <w:szCs w:val="28"/>
        </w:rPr>
        <w:fldChar w:fldCharType="end"/>
      </w:r>
    </w:p>
    <w:p w14:paraId="473AF8AA">
      <w:pPr>
        <w:pStyle w:val="16"/>
        <w:tabs>
          <w:tab w:val="right" w:leader="dot" w:pos="8306"/>
        </w:tabs>
        <w:rPr>
          <w:rFonts w:hint="eastAsia" w:ascii="仿宋" w:hAnsi="仿宋" w:eastAsia="仿宋" w:cs="仿宋"/>
          <w:sz w:val="28"/>
          <w:szCs w:val="28"/>
        </w:rPr>
      </w:pPr>
      <w:r>
        <w:rPr>
          <w:rFonts w:hint="eastAsia" w:ascii="仿宋" w:hAnsi="仿宋" w:eastAsia="仿宋" w:cs="仿宋"/>
          <w:sz w:val="28"/>
          <w:szCs w:val="28"/>
        </w:rPr>
        <w:t>第三节</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构建现代水利基础设施体系</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_Toc6711 \h </w:instrText>
      </w:r>
      <w:r>
        <w:rPr>
          <w:rFonts w:hint="eastAsia" w:ascii="仿宋" w:hAnsi="仿宋" w:eastAsia="仿宋" w:cs="仿宋"/>
          <w:sz w:val="28"/>
          <w:szCs w:val="28"/>
        </w:rPr>
        <w:fldChar w:fldCharType="separate"/>
      </w:r>
      <w:r>
        <w:rPr>
          <w:rFonts w:hint="eastAsia" w:ascii="仿宋" w:hAnsi="仿宋" w:eastAsia="仿宋" w:cs="仿宋"/>
          <w:sz w:val="28"/>
          <w:szCs w:val="28"/>
        </w:rPr>
        <w:t>69</w:t>
      </w:r>
      <w:r>
        <w:rPr>
          <w:rFonts w:hint="eastAsia" w:ascii="仿宋" w:hAnsi="仿宋" w:eastAsia="仿宋" w:cs="仿宋"/>
          <w:sz w:val="28"/>
          <w:szCs w:val="28"/>
        </w:rPr>
        <w:fldChar w:fldCharType="end"/>
      </w:r>
    </w:p>
    <w:p w14:paraId="5B716665">
      <w:pPr>
        <w:pStyle w:val="16"/>
        <w:tabs>
          <w:tab w:val="right" w:leader="dot" w:pos="8306"/>
        </w:tabs>
        <w:rPr>
          <w:rFonts w:hint="eastAsia" w:ascii="仿宋" w:hAnsi="仿宋" w:eastAsia="仿宋" w:cs="仿宋"/>
          <w:sz w:val="28"/>
          <w:szCs w:val="28"/>
        </w:rPr>
      </w:pPr>
      <w:r>
        <w:rPr>
          <w:rFonts w:hint="eastAsia" w:ascii="仿宋" w:hAnsi="仿宋" w:eastAsia="仿宋" w:cs="仿宋"/>
          <w:sz w:val="28"/>
          <w:szCs w:val="28"/>
        </w:rPr>
        <w:t>第四节</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加快现代能源基础设施建设</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_Toc29386 \h </w:instrText>
      </w:r>
      <w:r>
        <w:rPr>
          <w:rFonts w:hint="eastAsia" w:ascii="仿宋" w:hAnsi="仿宋" w:eastAsia="仿宋" w:cs="仿宋"/>
          <w:sz w:val="28"/>
          <w:szCs w:val="28"/>
        </w:rPr>
        <w:fldChar w:fldCharType="separate"/>
      </w:r>
      <w:r>
        <w:rPr>
          <w:rFonts w:hint="eastAsia" w:ascii="仿宋" w:hAnsi="仿宋" w:eastAsia="仿宋" w:cs="仿宋"/>
          <w:sz w:val="28"/>
          <w:szCs w:val="28"/>
        </w:rPr>
        <w:t>69</w:t>
      </w:r>
      <w:r>
        <w:rPr>
          <w:rFonts w:hint="eastAsia" w:ascii="仿宋" w:hAnsi="仿宋" w:eastAsia="仿宋" w:cs="仿宋"/>
          <w:sz w:val="28"/>
          <w:szCs w:val="28"/>
        </w:rPr>
        <w:fldChar w:fldCharType="end"/>
      </w:r>
    </w:p>
    <w:p w14:paraId="21EACA51">
      <w:pPr>
        <w:pStyle w:val="4"/>
        <w:tabs>
          <w:tab w:val="right" w:leader="dot" w:pos="8306"/>
        </w:tabs>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第九章 突出生态优先，全面提升绿色发展水平</w:t>
      </w:r>
      <w:r>
        <w:rPr>
          <w:rFonts w:hint="eastAsia" w:ascii="黑体" w:hAnsi="黑体" w:eastAsia="黑体" w:cs="黑体"/>
          <w:kern w:val="2"/>
          <w:sz w:val="28"/>
          <w:szCs w:val="28"/>
          <w:lang w:val="en-US" w:eastAsia="zh-CN" w:bidi="ar-SA"/>
        </w:rPr>
        <w:tab/>
      </w:r>
      <w:r>
        <w:rPr>
          <w:rFonts w:hint="eastAsia" w:ascii="黑体" w:hAnsi="黑体" w:eastAsia="黑体" w:cs="黑体"/>
          <w:kern w:val="2"/>
          <w:sz w:val="28"/>
          <w:szCs w:val="28"/>
          <w:lang w:val="en-US" w:eastAsia="zh-CN" w:bidi="ar-SA"/>
        </w:rPr>
        <w:fldChar w:fldCharType="begin"/>
      </w:r>
      <w:r>
        <w:rPr>
          <w:rFonts w:hint="eastAsia" w:ascii="黑体" w:hAnsi="黑体" w:eastAsia="黑体" w:cs="黑体"/>
          <w:kern w:val="2"/>
          <w:sz w:val="28"/>
          <w:szCs w:val="28"/>
          <w:lang w:val="en-US" w:eastAsia="zh-CN" w:bidi="ar-SA"/>
        </w:rPr>
        <w:instrText xml:space="preserve"> PAGEREF _Toc1513 \h </w:instrText>
      </w:r>
      <w:r>
        <w:rPr>
          <w:rFonts w:hint="eastAsia" w:ascii="黑体" w:hAnsi="黑体" w:eastAsia="黑体" w:cs="黑体"/>
          <w:kern w:val="2"/>
          <w:sz w:val="28"/>
          <w:szCs w:val="28"/>
          <w:lang w:val="en-US" w:eastAsia="zh-CN" w:bidi="ar-SA"/>
        </w:rPr>
        <w:fldChar w:fldCharType="separate"/>
      </w:r>
      <w:r>
        <w:rPr>
          <w:rFonts w:hint="eastAsia" w:ascii="黑体" w:hAnsi="黑体" w:eastAsia="黑体" w:cs="黑体"/>
          <w:kern w:val="2"/>
          <w:sz w:val="28"/>
          <w:szCs w:val="28"/>
          <w:lang w:val="en-US" w:eastAsia="zh-CN" w:bidi="ar-SA"/>
        </w:rPr>
        <w:t>71</w:t>
      </w:r>
      <w:r>
        <w:rPr>
          <w:rFonts w:hint="eastAsia" w:ascii="黑体" w:hAnsi="黑体" w:eastAsia="黑体" w:cs="黑体"/>
          <w:kern w:val="2"/>
          <w:sz w:val="28"/>
          <w:szCs w:val="28"/>
          <w:lang w:val="en-US" w:eastAsia="zh-CN" w:bidi="ar-SA"/>
        </w:rPr>
        <w:fldChar w:fldCharType="end"/>
      </w:r>
    </w:p>
    <w:p w14:paraId="2F12AB6F">
      <w:pPr>
        <w:pStyle w:val="16"/>
        <w:tabs>
          <w:tab w:val="right" w:leader="dot" w:pos="8306"/>
        </w:tabs>
        <w:rPr>
          <w:rFonts w:hint="eastAsia" w:ascii="仿宋" w:hAnsi="仿宋" w:eastAsia="仿宋" w:cs="仿宋"/>
          <w:sz w:val="28"/>
          <w:szCs w:val="28"/>
        </w:rPr>
      </w:pPr>
      <w:r>
        <w:rPr>
          <w:rFonts w:hint="eastAsia" w:ascii="仿宋" w:hAnsi="仿宋" w:eastAsia="仿宋" w:cs="仿宋"/>
          <w:sz w:val="28"/>
          <w:szCs w:val="28"/>
        </w:rPr>
        <w:t>第一节 持续改善环境质量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_Toc4601 \h </w:instrText>
      </w:r>
      <w:r>
        <w:rPr>
          <w:rFonts w:hint="eastAsia" w:ascii="仿宋" w:hAnsi="仿宋" w:eastAsia="仿宋" w:cs="仿宋"/>
          <w:sz w:val="28"/>
          <w:szCs w:val="28"/>
        </w:rPr>
        <w:fldChar w:fldCharType="separate"/>
      </w:r>
      <w:r>
        <w:rPr>
          <w:rFonts w:hint="eastAsia" w:ascii="仿宋" w:hAnsi="仿宋" w:eastAsia="仿宋" w:cs="仿宋"/>
          <w:sz w:val="28"/>
          <w:szCs w:val="28"/>
        </w:rPr>
        <w:t>71</w:t>
      </w:r>
      <w:r>
        <w:rPr>
          <w:rFonts w:hint="eastAsia" w:ascii="仿宋" w:hAnsi="仿宋" w:eastAsia="仿宋" w:cs="仿宋"/>
          <w:sz w:val="28"/>
          <w:szCs w:val="28"/>
        </w:rPr>
        <w:fldChar w:fldCharType="end"/>
      </w:r>
    </w:p>
    <w:p w14:paraId="34E3D4BD">
      <w:pPr>
        <w:pStyle w:val="16"/>
        <w:tabs>
          <w:tab w:val="right" w:leader="dot" w:pos="8306"/>
        </w:tabs>
        <w:rPr>
          <w:rFonts w:hint="eastAsia" w:ascii="仿宋" w:hAnsi="仿宋" w:eastAsia="仿宋" w:cs="仿宋"/>
          <w:sz w:val="28"/>
          <w:szCs w:val="28"/>
        </w:rPr>
      </w:pPr>
      <w:r>
        <w:rPr>
          <w:rFonts w:hint="eastAsia" w:ascii="仿宋" w:hAnsi="仿宋" w:eastAsia="仿宋" w:cs="仿宋"/>
          <w:sz w:val="28"/>
          <w:szCs w:val="28"/>
        </w:rPr>
        <w:t>第二节</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提高资源利用效率</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_Toc2480 \h </w:instrText>
      </w:r>
      <w:r>
        <w:rPr>
          <w:rFonts w:hint="eastAsia" w:ascii="仿宋" w:hAnsi="仿宋" w:eastAsia="仿宋" w:cs="仿宋"/>
          <w:sz w:val="28"/>
          <w:szCs w:val="28"/>
        </w:rPr>
        <w:fldChar w:fldCharType="separate"/>
      </w:r>
      <w:r>
        <w:rPr>
          <w:rFonts w:hint="eastAsia" w:ascii="仿宋" w:hAnsi="仿宋" w:eastAsia="仿宋" w:cs="仿宋"/>
          <w:sz w:val="28"/>
          <w:szCs w:val="28"/>
        </w:rPr>
        <w:t>72</w:t>
      </w:r>
      <w:r>
        <w:rPr>
          <w:rFonts w:hint="eastAsia" w:ascii="仿宋" w:hAnsi="仿宋" w:eastAsia="仿宋" w:cs="仿宋"/>
          <w:sz w:val="28"/>
          <w:szCs w:val="28"/>
        </w:rPr>
        <w:fldChar w:fldCharType="end"/>
      </w:r>
    </w:p>
    <w:p w14:paraId="192ED432">
      <w:pPr>
        <w:pStyle w:val="16"/>
        <w:tabs>
          <w:tab w:val="right" w:leader="dot" w:pos="8306"/>
        </w:tabs>
        <w:rPr>
          <w:rFonts w:hint="eastAsia" w:ascii="仿宋" w:hAnsi="仿宋" w:eastAsia="仿宋" w:cs="仿宋"/>
          <w:sz w:val="28"/>
          <w:szCs w:val="28"/>
        </w:rPr>
      </w:pPr>
      <w:r>
        <w:rPr>
          <w:rFonts w:hint="eastAsia" w:ascii="仿宋" w:hAnsi="仿宋" w:eastAsia="仿宋" w:cs="仿宋"/>
          <w:sz w:val="28"/>
          <w:szCs w:val="28"/>
        </w:rPr>
        <w:t>第三节</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推动绿色低碳发展</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_Toc19010 \h </w:instrText>
      </w:r>
      <w:r>
        <w:rPr>
          <w:rFonts w:hint="eastAsia" w:ascii="仿宋" w:hAnsi="仿宋" w:eastAsia="仿宋" w:cs="仿宋"/>
          <w:sz w:val="28"/>
          <w:szCs w:val="28"/>
        </w:rPr>
        <w:fldChar w:fldCharType="separate"/>
      </w:r>
      <w:r>
        <w:rPr>
          <w:rFonts w:hint="eastAsia" w:ascii="仿宋" w:hAnsi="仿宋" w:eastAsia="仿宋" w:cs="仿宋"/>
          <w:sz w:val="28"/>
          <w:szCs w:val="28"/>
        </w:rPr>
        <w:t>73</w:t>
      </w:r>
      <w:r>
        <w:rPr>
          <w:rFonts w:hint="eastAsia" w:ascii="仿宋" w:hAnsi="仿宋" w:eastAsia="仿宋" w:cs="仿宋"/>
          <w:sz w:val="28"/>
          <w:szCs w:val="28"/>
        </w:rPr>
        <w:fldChar w:fldCharType="end"/>
      </w:r>
    </w:p>
    <w:p w14:paraId="7003DB51">
      <w:pPr>
        <w:pStyle w:val="4"/>
        <w:tabs>
          <w:tab w:val="right" w:leader="dot" w:pos="8306"/>
        </w:tabs>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第十章 坚持共建共享，增强人民获得感幸福感安全感</w:t>
      </w:r>
      <w:r>
        <w:rPr>
          <w:rFonts w:hint="eastAsia" w:ascii="黑体" w:hAnsi="黑体" w:eastAsia="黑体" w:cs="黑体"/>
          <w:kern w:val="2"/>
          <w:sz w:val="28"/>
          <w:szCs w:val="28"/>
          <w:lang w:val="en-US" w:eastAsia="zh-CN" w:bidi="ar-SA"/>
        </w:rPr>
        <w:tab/>
      </w:r>
      <w:r>
        <w:rPr>
          <w:rFonts w:hint="eastAsia" w:ascii="黑体" w:hAnsi="黑体" w:eastAsia="黑体" w:cs="黑体"/>
          <w:kern w:val="2"/>
          <w:sz w:val="28"/>
          <w:szCs w:val="28"/>
          <w:lang w:val="en-US" w:eastAsia="zh-CN" w:bidi="ar-SA"/>
        </w:rPr>
        <w:fldChar w:fldCharType="begin"/>
      </w:r>
      <w:r>
        <w:rPr>
          <w:rFonts w:hint="eastAsia" w:ascii="黑体" w:hAnsi="黑体" w:eastAsia="黑体" w:cs="黑体"/>
          <w:kern w:val="2"/>
          <w:sz w:val="28"/>
          <w:szCs w:val="28"/>
          <w:lang w:val="en-US" w:eastAsia="zh-CN" w:bidi="ar-SA"/>
        </w:rPr>
        <w:instrText xml:space="preserve"> PAGEREF _Toc24342 \h </w:instrText>
      </w:r>
      <w:r>
        <w:rPr>
          <w:rFonts w:hint="eastAsia" w:ascii="黑体" w:hAnsi="黑体" w:eastAsia="黑体" w:cs="黑体"/>
          <w:kern w:val="2"/>
          <w:sz w:val="28"/>
          <w:szCs w:val="28"/>
          <w:lang w:val="en-US" w:eastAsia="zh-CN" w:bidi="ar-SA"/>
        </w:rPr>
        <w:fldChar w:fldCharType="separate"/>
      </w:r>
      <w:r>
        <w:rPr>
          <w:rFonts w:hint="eastAsia" w:ascii="黑体" w:hAnsi="黑体" w:eastAsia="黑体" w:cs="黑体"/>
          <w:kern w:val="2"/>
          <w:sz w:val="28"/>
          <w:szCs w:val="28"/>
          <w:lang w:val="en-US" w:eastAsia="zh-CN" w:bidi="ar-SA"/>
        </w:rPr>
        <w:t>75</w:t>
      </w:r>
      <w:r>
        <w:rPr>
          <w:rFonts w:hint="eastAsia" w:ascii="黑体" w:hAnsi="黑体" w:eastAsia="黑体" w:cs="黑体"/>
          <w:kern w:val="2"/>
          <w:sz w:val="28"/>
          <w:szCs w:val="28"/>
          <w:lang w:val="en-US" w:eastAsia="zh-CN" w:bidi="ar-SA"/>
        </w:rPr>
        <w:fldChar w:fldCharType="end"/>
      </w:r>
    </w:p>
    <w:p w14:paraId="205540F1">
      <w:pPr>
        <w:pStyle w:val="16"/>
        <w:tabs>
          <w:tab w:val="right" w:leader="dot" w:pos="8306"/>
        </w:tabs>
        <w:rPr>
          <w:rFonts w:hint="eastAsia" w:ascii="仿宋" w:hAnsi="仿宋" w:eastAsia="仿宋" w:cs="仿宋"/>
          <w:sz w:val="28"/>
          <w:szCs w:val="28"/>
        </w:rPr>
      </w:pPr>
      <w:r>
        <w:rPr>
          <w:rFonts w:hint="eastAsia" w:ascii="仿宋" w:hAnsi="仿宋" w:eastAsia="仿宋" w:cs="仿宋"/>
          <w:sz w:val="28"/>
          <w:szCs w:val="28"/>
        </w:rPr>
        <w:t>第一节</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大力发展教育事业</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_Toc29680 \h </w:instrText>
      </w:r>
      <w:r>
        <w:rPr>
          <w:rFonts w:hint="eastAsia" w:ascii="仿宋" w:hAnsi="仿宋" w:eastAsia="仿宋" w:cs="仿宋"/>
          <w:sz w:val="28"/>
          <w:szCs w:val="28"/>
        </w:rPr>
        <w:fldChar w:fldCharType="separate"/>
      </w:r>
      <w:r>
        <w:rPr>
          <w:rFonts w:hint="eastAsia" w:ascii="仿宋" w:hAnsi="仿宋" w:eastAsia="仿宋" w:cs="仿宋"/>
          <w:sz w:val="28"/>
          <w:szCs w:val="28"/>
        </w:rPr>
        <w:t>75</w:t>
      </w:r>
      <w:r>
        <w:rPr>
          <w:rFonts w:hint="eastAsia" w:ascii="仿宋" w:hAnsi="仿宋" w:eastAsia="仿宋" w:cs="仿宋"/>
          <w:sz w:val="28"/>
          <w:szCs w:val="28"/>
        </w:rPr>
        <w:fldChar w:fldCharType="end"/>
      </w:r>
    </w:p>
    <w:p w14:paraId="0BBDD0D5">
      <w:pPr>
        <w:pStyle w:val="16"/>
        <w:tabs>
          <w:tab w:val="right" w:leader="dot" w:pos="8306"/>
        </w:tabs>
        <w:rPr>
          <w:rFonts w:hint="eastAsia" w:ascii="仿宋" w:hAnsi="仿宋" w:eastAsia="仿宋" w:cs="仿宋"/>
          <w:sz w:val="28"/>
          <w:szCs w:val="28"/>
        </w:rPr>
      </w:pPr>
      <w:r>
        <w:rPr>
          <w:rFonts w:hint="eastAsia" w:ascii="仿宋" w:hAnsi="仿宋" w:eastAsia="仿宋" w:cs="仿宋"/>
          <w:sz w:val="28"/>
          <w:szCs w:val="28"/>
        </w:rPr>
        <w:t>第二节</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繁荣发展文化事业</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_Toc30356 \h </w:instrText>
      </w:r>
      <w:r>
        <w:rPr>
          <w:rFonts w:hint="eastAsia" w:ascii="仿宋" w:hAnsi="仿宋" w:eastAsia="仿宋" w:cs="仿宋"/>
          <w:sz w:val="28"/>
          <w:szCs w:val="28"/>
        </w:rPr>
        <w:fldChar w:fldCharType="separate"/>
      </w:r>
      <w:r>
        <w:rPr>
          <w:rFonts w:hint="eastAsia" w:ascii="仿宋" w:hAnsi="仿宋" w:eastAsia="仿宋" w:cs="仿宋"/>
          <w:sz w:val="28"/>
          <w:szCs w:val="28"/>
        </w:rPr>
        <w:t>78</w:t>
      </w:r>
      <w:r>
        <w:rPr>
          <w:rFonts w:hint="eastAsia" w:ascii="仿宋" w:hAnsi="仿宋" w:eastAsia="仿宋" w:cs="仿宋"/>
          <w:sz w:val="28"/>
          <w:szCs w:val="28"/>
        </w:rPr>
        <w:fldChar w:fldCharType="end"/>
      </w:r>
    </w:p>
    <w:p w14:paraId="1AB14E49">
      <w:pPr>
        <w:pStyle w:val="16"/>
        <w:tabs>
          <w:tab w:val="right" w:leader="dot" w:pos="8306"/>
        </w:tabs>
        <w:rPr>
          <w:rFonts w:hint="eastAsia" w:ascii="仿宋" w:hAnsi="仿宋" w:eastAsia="仿宋" w:cs="仿宋"/>
          <w:sz w:val="28"/>
          <w:szCs w:val="28"/>
        </w:rPr>
      </w:pPr>
      <w:r>
        <w:rPr>
          <w:rFonts w:hint="eastAsia" w:ascii="仿宋" w:hAnsi="仿宋" w:eastAsia="仿宋" w:cs="仿宋"/>
          <w:sz w:val="28"/>
          <w:szCs w:val="28"/>
        </w:rPr>
        <w:t>第三节 提高人民收入水平</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_Toc14724 \h </w:instrText>
      </w:r>
      <w:r>
        <w:rPr>
          <w:rFonts w:hint="eastAsia" w:ascii="仿宋" w:hAnsi="仿宋" w:eastAsia="仿宋" w:cs="仿宋"/>
          <w:sz w:val="28"/>
          <w:szCs w:val="28"/>
        </w:rPr>
        <w:fldChar w:fldCharType="separate"/>
      </w:r>
      <w:r>
        <w:rPr>
          <w:rFonts w:hint="eastAsia" w:ascii="仿宋" w:hAnsi="仿宋" w:eastAsia="仿宋" w:cs="仿宋"/>
          <w:sz w:val="28"/>
          <w:szCs w:val="28"/>
        </w:rPr>
        <w:t>80</w:t>
      </w:r>
      <w:r>
        <w:rPr>
          <w:rFonts w:hint="eastAsia" w:ascii="仿宋" w:hAnsi="仿宋" w:eastAsia="仿宋" w:cs="仿宋"/>
          <w:sz w:val="28"/>
          <w:szCs w:val="28"/>
        </w:rPr>
        <w:fldChar w:fldCharType="end"/>
      </w:r>
    </w:p>
    <w:p w14:paraId="5CFEC821">
      <w:pPr>
        <w:pStyle w:val="16"/>
        <w:tabs>
          <w:tab w:val="right" w:leader="dot" w:pos="8306"/>
        </w:tabs>
        <w:rPr>
          <w:rFonts w:hint="eastAsia" w:ascii="仿宋" w:hAnsi="仿宋" w:eastAsia="仿宋" w:cs="仿宋"/>
          <w:sz w:val="28"/>
          <w:szCs w:val="28"/>
        </w:rPr>
      </w:pPr>
      <w:r>
        <w:rPr>
          <w:rFonts w:hint="eastAsia" w:ascii="仿宋" w:hAnsi="仿宋" w:eastAsia="仿宋" w:cs="仿宋"/>
          <w:sz w:val="28"/>
          <w:szCs w:val="28"/>
        </w:rPr>
        <w:t>第</w:t>
      </w:r>
      <w:r>
        <w:rPr>
          <w:rFonts w:hint="eastAsia" w:ascii="仿宋" w:hAnsi="仿宋" w:eastAsia="仿宋" w:cs="仿宋"/>
          <w:sz w:val="28"/>
          <w:szCs w:val="28"/>
          <w:lang w:val="en-US" w:eastAsia="zh-CN"/>
        </w:rPr>
        <w:t>四</w:t>
      </w:r>
      <w:r>
        <w:rPr>
          <w:rFonts w:hint="eastAsia" w:ascii="仿宋" w:hAnsi="仿宋" w:eastAsia="仿宋" w:cs="仿宋"/>
          <w:sz w:val="28"/>
          <w:szCs w:val="28"/>
        </w:rPr>
        <w:t>节</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强化就业优先政策</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_Toc9419 \h </w:instrText>
      </w:r>
      <w:r>
        <w:rPr>
          <w:rFonts w:hint="eastAsia" w:ascii="仿宋" w:hAnsi="仿宋" w:eastAsia="仿宋" w:cs="仿宋"/>
          <w:sz w:val="28"/>
          <w:szCs w:val="28"/>
        </w:rPr>
        <w:fldChar w:fldCharType="separate"/>
      </w:r>
      <w:r>
        <w:rPr>
          <w:rFonts w:hint="eastAsia" w:ascii="仿宋" w:hAnsi="仿宋" w:eastAsia="仿宋" w:cs="仿宋"/>
          <w:sz w:val="28"/>
          <w:szCs w:val="28"/>
        </w:rPr>
        <w:t>80</w:t>
      </w:r>
      <w:r>
        <w:rPr>
          <w:rFonts w:hint="eastAsia" w:ascii="仿宋" w:hAnsi="仿宋" w:eastAsia="仿宋" w:cs="仿宋"/>
          <w:sz w:val="28"/>
          <w:szCs w:val="28"/>
        </w:rPr>
        <w:fldChar w:fldCharType="end"/>
      </w:r>
    </w:p>
    <w:p w14:paraId="2A5D441D">
      <w:pPr>
        <w:pStyle w:val="16"/>
        <w:tabs>
          <w:tab w:val="right" w:leader="dot" w:pos="8306"/>
        </w:tabs>
        <w:rPr>
          <w:rFonts w:hint="eastAsia" w:ascii="仿宋" w:hAnsi="仿宋" w:eastAsia="仿宋" w:cs="仿宋"/>
          <w:sz w:val="28"/>
          <w:szCs w:val="28"/>
        </w:rPr>
      </w:pPr>
      <w:r>
        <w:rPr>
          <w:rFonts w:hint="eastAsia" w:ascii="仿宋" w:hAnsi="仿宋" w:eastAsia="仿宋" w:cs="仿宋"/>
          <w:sz w:val="28"/>
          <w:szCs w:val="28"/>
        </w:rPr>
        <w:t>第</w:t>
      </w:r>
      <w:r>
        <w:rPr>
          <w:rFonts w:hint="eastAsia" w:ascii="仿宋" w:hAnsi="仿宋" w:eastAsia="仿宋" w:cs="仿宋"/>
          <w:sz w:val="28"/>
          <w:szCs w:val="28"/>
          <w:lang w:val="en-US" w:eastAsia="zh-CN"/>
        </w:rPr>
        <w:t>五</w:t>
      </w:r>
      <w:r>
        <w:rPr>
          <w:rFonts w:hint="eastAsia" w:ascii="仿宋" w:hAnsi="仿宋" w:eastAsia="仿宋" w:cs="仿宋"/>
          <w:sz w:val="28"/>
          <w:szCs w:val="28"/>
        </w:rPr>
        <w:t>节</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全力建设健康桐城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_Toc18591 \h </w:instrText>
      </w:r>
      <w:r>
        <w:rPr>
          <w:rFonts w:hint="eastAsia" w:ascii="仿宋" w:hAnsi="仿宋" w:eastAsia="仿宋" w:cs="仿宋"/>
          <w:sz w:val="28"/>
          <w:szCs w:val="28"/>
        </w:rPr>
        <w:fldChar w:fldCharType="separate"/>
      </w:r>
      <w:r>
        <w:rPr>
          <w:rFonts w:hint="eastAsia" w:ascii="仿宋" w:hAnsi="仿宋" w:eastAsia="仿宋" w:cs="仿宋"/>
          <w:sz w:val="28"/>
          <w:szCs w:val="28"/>
        </w:rPr>
        <w:t>81</w:t>
      </w:r>
      <w:r>
        <w:rPr>
          <w:rFonts w:hint="eastAsia" w:ascii="仿宋" w:hAnsi="仿宋" w:eastAsia="仿宋" w:cs="仿宋"/>
          <w:sz w:val="28"/>
          <w:szCs w:val="28"/>
        </w:rPr>
        <w:fldChar w:fldCharType="end"/>
      </w:r>
    </w:p>
    <w:p w14:paraId="1E67F19D">
      <w:pPr>
        <w:pStyle w:val="16"/>
        <w:tabs>
          <w:tab w:val="right" w:leader="dot" w:pos="8306"/>
        </w:tabs>
        <w:rPr>
          <w:rFonts w:hint="eastAsia" w:ascii="仿宋" w:hAnsi="仿宋" w:eastAsia="仿宋" w:cs="仿宋"/>
          <w:sz w:val="28"/>
          <w:szCs w:val="28"/>
        </w:rPr>
      </w:pPr>
      <w:r>
        <w:rPr>
          <w:rFonts w:hint="eastAsia" w:ascii="仿宋" w:hAnsi="仿宋" w:eastAsia="仿宋" w:cs="仿宋"/>
          <w:sz w:val="28"/>
          <w:szCs w:val="28"/>
        </w:rPr>
        <w:t>第</w:t>
      </w:r>
      <w:r>
        <w:rPr>
          <w:rFonts w:hint="eastAsia" w:ascii="仿宋" w:hAnsi="仿宋" w:eastAsia="仿宋" w:cs="仿宋"/>
          <w:sz w:val="28"/>
          <w:szCs w:val="28"/>
          <w:lang w:val="en-US" w:eastAsia="zh-CN"/>
        </w:rPr>
        <w:t>六</w:t>
      </w:r>
      <w:r>
        <w:rPr>
          <w:rFonts w:hint="eastAsia" w:ascii="仿宋" w:hAnsi="仿宋" w:eastAsia="仿宋" w:cs="仿宋"/>
          <w:sz w:val="28"/>
          <w:szCs w:val="28"/>
        </w:rPr>
        <w:t>节</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健全完善社会保障</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_Toc26200 \h </w:instrText>
      </w:r>
      <w:r>
        <w:rPr>
          <w:rFonts w:hint="eastAsia" w:ascii="仿宋" w:hAnsi="仿宋" w:eastAsia="仿宋" w:cs="仿宋"/>
          <w:sz w:val="28"/>
          <w:szCs w:val="28"/>
        </w:rPr>
        <w:fldChar w:fldCharType="separate"/>
      </w:r>
      <w:r>
        <w:rPr>
          <w:rFonts w:hint="eastAsia" w:ascii="仿宋" w:hAnsi="仿宋" w:eastAsia="仿宋" w:cs="仿宋"/>
          <w:sz w:val="28"/>
          <w:szCs w:val="28"/>
        </w:rPr>
        <w:t>84</w:t>
      </w:r>
      <w:r>
        <w:rPr>
          <w:rFonts w:hint="eastAsia" w:ascii="仿宋" w:hAnsi="仿宋" w:eastAsia="仿宋" w:cs="仿宋"/>
          <w:sz w:val="28"/>
          <w:szCs w:val="28"/>
        </w:rPr>
        <w:fldChar w:fldCharType="end"/>
      </w:r>
    </w:p>
    <w:p w14:paraId="0E96546E">
      <w:pPr>
        <w:pStyle w:val="16"/>
        <w:tabs>
          <w:tab w:val="right" w:leader="dot" w:pos="8306"/>
        </w:tabs>
        <w:rPr>
          <w:rFonts w:hint="eastAsia" w:ascii="仿宋" w:hAnsi="仿宋" w:eastAsia="仿宋" w:cs="仿宋"/>
          <w:sz w:val="28"/>
          <w:szCs w:val="28"/>
        </w:rPr>
      </w:pPr>
      <w:r>
        <w:rPr>
          <w:rFonts w:hint="eastAsia" w:ascii="仿宋" w:hAnsi="仿宋" w:eastAsia="仿宋" w:cs="仿宋"/>
          <w:sz w:val="28"/>
          <w:szCs w:val="28"/>
        </w:rPr>
        <w:t>第</w:t>
      </w:r>
      <w:r>
        <w:rPr>
          <w:rFonts w:hint="eastAsia" w:ascii="仿宋" w:hAnsi="仿宋" w:eastAsia="仿宋" w:cs="仿宋"/>
          <w:sz w:val="28"/>
          <w:szCs w:val="28"/>
          <w:lang w:val="en-US" w:eastAsia="zh-CN"/>
        </w:rPr>
        <w:t>七</w:t>
      </w:r>
      <w:r>
        <w:rPr>
          <w:rFonts w:hint="eastAsia" w:ascii="仿宋" w:hAnsi="仿宋" w:eastAsia="仿宋" w:cs="仿宋"/>
          <w:sz w:val="28"/>
          <w:szCs w:val="28"/>
        </w:rPr>
        <w:t>节</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巩固全国文明城市创建成果</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_Toc765 \h </w:instrText>
      </w:r>
      <w:r>
        <w:rPr>
          <w:rFonts w:hint="eastAsia" w:ascii="仿宋" w:hAnsi="仿宋" w:eastAsia="仿宋" w:cs="仿宋"/>
          <w:sz w:val="28"/>
          <w:szCs w:val="28"/>
        </w:rPr>
        <w:fldChar w:fldCharType="separate"/>
      </w:r>
      <w:r>
        <w:rPr>
          <w:rFonts w:hint="eastAsia" w:ascii="仿宋" w:hAnsi="仿宋" w:eastAsia="仿宋" w:cs="仿宋"/>
          <w:sz w:val="28"/>
          <w:szCs w:val="28"/>
        </w:rPr>
        <w:t>87</w:t>
      </w:r>
      <w:r>
        <w:rPr>
          <w:rFonts w:hint="eastAsia" w:ascii="仿宋" w:hAnsi="仿宋" w:eastAsia="仿宋" w:cs="仿宋"/>
          <w:sz w:val="28"/>
          <w:szCs w:val="28"/>
        </w:rPr>
        <w:fldChar w:fldCharType="end"/>
      </w:r>
    </w:p>
    <w:p w14:paraId="6888DE47">
      <w:pPr>
        <w:pStyle w:val="16"/>
        <w:tabs>
          <w:tab w:val="right" w:leader="dot" w:pos="8306"/>
        </w:tabs>
        <w:rPr>
          <w:rFonts w:hint="eastAsia" w:ascii="仿宋" w:hAnsi="仿宋" w:eastAsia="仿宋" w:cs="仿宋"/>
          <w:sz w:val="28"/>
          <w:szCs w:val="28"/>
        </w:rPr>
      </w:pPr>
      <w:r>
        <w:rPr>
          <w:rFonts w:hint="eastAsia" w:ascii="仿宋" w:hAnsi="仿宋" w:eastAsia="仿宋" w:cs="仿宋"/>
          <w:sz w:val="28"/>
          <w:szCs w:val="28"/>
        </w:rPr>
        <w:t>第</w:t>
      </w:r>
      <w:r>
        <w:rPr>
          <w:rFonts w:hint="eastAsia" w:ascii="仿宋" w:hAnsi="仿宋" w:eastAsia="仿宋" w:cs="仿宋"/>
          <w:sz w:val="28"/>
          <w:szCs w:val="28"/>
          <w:lang w:val="en-US" w:eastAsia="zh-CN"/>
        </w:rPr>
        <w:t>八</w:t>
      </w:r>
      <w:r>
        <w:rPr>
          <w:rFonts w:hint="eastAsia" w:ascii="仿宋" w:hAnsi="仿宋" w:eastAsia="仿宋" w:cs="仿宋"/>
          <w:sz w:val="28"/>
          <w:szCs w:val="28"/>
        </w:rPr>
        <w:t>节</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加强和创新社会治理</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_Toc22354 \h </w:instrText>
      </w:r>
      <w:r>
        <w:rPr>
          <w:rFonts w:hint="eastAsia" w:ascii="仿宋" w:hAnsi="仿宋" w:eastAsia="仿宋" w:cs="仿宋"/>
          <w:sz w:val="28"/>
          <w:szCs w:val="28"/>
        </w:rPr>
        <w:fldChar w:fldCharType="separate"/>
      </w:r>
      <w:r>
        <w:rPr>
          <w:rFonts w:hint="eastAsia" w:ascii="仿宋" w:hAnsi="仿宋" w:eastAsia="仿宋" w:cs="仿宋"/>
          <w:sz w:val="28"/>
          <w:szCs w:val="28"/>
        </w:rPr>
        <w:t>87</w:t>
      </w:r>
      <w:r>
        <w:rPr>
          <w:rFonts w:hint="eastAsia" w:ascii="仿宋" w:hAnsi="仿宋" w:eastAsia="仿宋" w:cs="仿宋"/>
          <w:sz w:val="28"/>
          <w:szCs w:val="28"/>
        </w:rPr>
        <w:fldChar w:fldCharType="end"/>
      </w:r>
    </w:p>
    <w:p w14:paraId="4FAB4D78">
      <w:pPr>
        <w:pStyle w:val="16"/>
        <w:tabs>
          <w:tab w:val="right" w:leader="dot" w:pos="8306"/>
        </w:tabs>
        <w:rPr>
          <w:rFonts w:hint="eastAsia" w:ascii="仿宋" w:hAnsi="仿宋" w:eastAsia="仿宋" w:cs="仿宋"/>
          <w:sz w:val="28"/>
          <w:szCs w:val="28"/>
        </w:rPr>
      </w:pPr>
      <w:r>
        <w:rPr>
          <w:rFonts w:hint="eastAsia" w:ascii="仿宋" w:hAnsi="仿宋" w:eastAsia="仿宋" w:cs="仿宋"/>
          <w:sz w:val="28"/>
          <w:szCs w:val="28"/>
        </w:rPr>
        <w:t>第</w:t>
      </w:r>
      <w:r>
        <w:rPr>
          <w:rFonts w:hint="eastAsia" w:ascii="仿宋" w:hAnsi="仿宋" w:eastAsia="仿宋" w:cs="仿宋"/>
          <w:sz w:val="28"/>
          <w:szCs w:val="28"/>
          <w:lang w:val="en-US" w:eastAsia="zh-CN"/>
        </w:rPr>
        <w:t>九</w:t>
      </w:r>
      <w:r>
        <w:rPr>
          <w:rFonts w:hint="eastAsia" w:ascii="仿宋" w:hAnsi="仿宋" w:eastAsia="仿宋" w:cs="仿宋"/>
          <w:sz w:val="28"/>
          <w:szCs w:val="28"/>
        </w:rPr>
        <w:t>节</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提高平安桐城建设水平</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_Toc30842 \h </w:instrText>
      </w:r>
      <w:r>
        <w:rPr>
          <w:rFonts w:hint="eastAsia" w:ascii="仿宋" w:hAnsi="仿宋" w:eastAsia="仿宋" w:cs="仿宋"/>
          <w:sz w:val="28"/>
          <w:szCs w:val="28"/>
        </w:rPr>
        <w:fldChar w:fldCharType="separate"/>
      </w:r>
      <w:r>
        <w:rPr>
          <w:rFonts w:hint="eastAsia" w:ascii="仿宋" w:hAnsi="仿宋" w:eastAsia="仿宋" w:cs="仿宋"/>
          <w:sz w:val="28"/>
          <w:szCs w:val="28"/>
        </w:rPr>
        <w:t>89</w:t>
      </w:r>
      <w:r>
        <w:rPr>
          <w:rFonts w:hint="eastAsia" w:ascii="仿宋" w:hAnsi="仿宋" w:eastAsia="仿宋" w:cs="仿宋"/>
          <w:sz w:val="28"/>
          <w:szCs w:val="28"/>
        </w:rPr>
        <w:fldChar w:fldCharType="end"/>
      </w:r>
    </w:p>
    <w:p w14:paraId="14FFFFE6">
      <w:pPr>
        <w:pStyle w:val="4"/>
        <w:tabs>
          <w:tab w:val="right" w:leader="dot" w:pos="8306"/>
        </w:tabs>
        <w:rPr>
          <w:rFonts w:hint="eastAsia" w:ascii="仿宋" w:hAnsi="仿宋" w:eastAsia="仿宋" w:cs="仿宋"/>
          <w:sz w:val="28"/>
          <w:szCs w:val="28"/>
        </w:rPr>
      </w:pPr>
      <w:r>
        <w:rPr>
          <w:rFonts w:hint="eastAsia" w:ascii="黑体" w:hAnsi="黑体" w:eastAsia="黑体" w:cs="黑体"/>
          <w:kern w:val="2"/>
          <w:sz w:val="28"/>
          <w:szCs w:val="28"/>
          <w:lang w:val="en-US" w:eastAsia="zh-CN" w:bidi="ar-SA"/>
        </w:rPr>
        <w:t>第十一章 强化规划实施保障，推动规划目标任务落地</w:t>
      </w:r>
      <w:r>
        <w:rPr>
          <w:rFonts w:hint="eastAsia" w:ascii="黑体" w:hAnsi="黑体" w:eastAsia="黑体" w:cs="黑体"/>
          <w:kern w:val="2"/>
          <w:sz w:val="28"/>
          <w:szCs w:val="28"/>
          <w:lang w:val="en-US" w:eastAsia="zh-CN" w:bidi="ar-SA"/>
        </w:rPr>
        <w:tab/>
      </w:r>
      <w:r>
        <w:rPr>
          <w:rFonts w:hint="eastAsia" w:ascii="黑体" w:hAnsi="黑体" w:eastAsia="黑体" w:cs="黑体"/>
          <w:kern w:val="2"/>
          <w:sz w:val="28"/>
          <w:szCs w:val="28"/>
          <w:lang w:val="en-US" w:eastAsia="zh-CN" w:bidi="ar-SA"/>
        </w:rPr>
        <w:fldChar w:fldCharType="begin"/>
      </w:r>
      <w:r>
        <w:rPr>
          <w:rFonts w:hint="eastAsia" w:ascii="黑体" w:hAnsi="黑体" w:eastAsia="黑体" w:cs="黑体"/>
          <w:kern w:val="2"/>
          <w:sz w:val="28"/>
          <w:szCs w:val="28"/>
          <w:lang w:val="en-US" w:eastAsia="zh-CN" w:bidi="ar-SA"/>
        </w:rPr>
        <w:instrText xml:space="preserve"> PAGEREF _Toc9144 \h </w:instrText>
      </w:r>
      <w:r>
        <w:rPr>
          <w:rFonts w:hint="eastAsia" w:ascii="黑体" w:hAnsi="黑体" w:eastAsia="黑体" w:cs="黑体"/>
          <w:kern w:val="2"/>
          <w:sz w:val="28"/>
          <w:szCs w:val="28"/>
          <w:lang w:val="en-US" w:eastAsia="zh-CN" w:bidi="ar-SA"/>
        </w:rPr>
        <w:fldChar w:fldCharType="separate"/>
      </w:r>
      <w:r>
        <w:rPr>
          <w:rFonts w:hint="eastAsia" w:ascii="黑体" w:hAnsi="黑体" w:eastAsia="黑体" w:cs="黑体"/>
          <w:kern w:val="2"/>
          <w:sz w:val="28"/>
          <w:szCs w:val="28"/>
          <w:lang w:val="en-US" w:eastAsia="zh-CN" w:bidi="ar-SA"/>
        </w:rPr>
        <w:t>93</w:t>
      </w:r>
      <w:r>
        <w:rPr>
          <w:rFonts w:hint="eastAsia" w:ascii="黑体" w:hAnsi="黑体" w:eastAsia="黑体" w:cs="黑体"/>
          <w:kern w:val="2"/>
          <w:sz w:val="28"/>
          <w:szCs w:val="28"/>
          <w:lang w:val="en-US" w:eastAsia="zh-CN" w:bidi="ar-SA"/>
        </w:rPr>
        <w:fldChar w:fldCharType="end"/>
      </w:r>
    </w:p>
    <w:p w14:paraId="5991BE5B">
      <w:pPr>
        <w:pStyle w:val="16"/>
        <w:tabs>
          <w:tab w:val="right" w:leader="dot" w:pos="8306"/>
        </w:tabs>
        <w:rPr>
          <w:rFonts w:hint="eastAsia" w:ascii="仿宋" w:hAnsi="仿宋" w:eastAsia="仿宋" w:cs="仿宋"/>
          <w:sz w:val="28"/>
          <w:szCs w:val="28"/>
        </w:rPr>
      </w:pPr>
      <w:r>
        <w:rPr>
          <w:rFonts w:hint="eastAsia" w:ascii="仿宋" w:hAnsi="仿宋" w:eastAsia="仿宋" w:cs="仿宋"/>
          <w:sz w:val="28"/>
          <w:szCs w:val="28"/>
        </w:rPr>
        <w:t>第一节</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加强组织领导</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_Toc31307 \h </w:instrText>
      </w:r>
      <w:r>
        <w:rPr>
          <w:rFonts w:hint="eastAsia" w:ascii="仿宋" w:hAnsi="仿宋" w:eastAsia="仿宋" w:cs="仿宋"/>
          <w:sz w:val="28"/>
          <w:szCs w:val="28"/>
        </w:rPr>
        <w:fldChar w:fldCharType="separate"/>
      </w:r>
      <w:r>
        <w:rPr>
          <w:rFonts w:hint="eastAsia" w:ascii="仿宋" w:hAnsi="仿宋" w:eastAsia="仿宋" w:cs="仿宋"/>
          <w:sz w:val="28"/>
          <w:szCs w:val="28"/>
        </w:rPr>
        <w:t>93</w:t>
      </w:r>
      <w:r>
        <w:rPr>
          <w:rFonts w:hint="eastAsia" w:ascii="仿宋" w:hAnsi="仿宋" w:eastAsia="仿宋" w:cs="仿宋"/>
          <w:sz w:val="28"/>
          <w:szCs w:val="28"/>
        </w:rPr>
        <w:fldChar w:fldCharType="end"/>
      </w:r>
    </w:p>
    <w:p w14:paraId="62C43F1D">
      <w:pPr>
        <w:pStyle w:val="16"/>
        <w:tabs>
          <w:tab w:val="right" w:leader="dot" w:pos="8306"/>
        </w:tabs>
        <w:rPr>
          <w:rFonts w:hint="eastAsia" w:ascii="仿宋" w:hAnsi="仿宋" w:eastAsia="仿宋" w:cs="仿宋"/>
          <w:sz w:val="28"/>
          <w:szCs w:val="28"/>
        </w:rPr>
      </w:pPr>
      <w:r>
        <w:rPr>
          <w:rFonts w:hint="eastAsia" w:ascii="仿宋" w:hAnsi="仿宋" w:eastAsia="仿宋" w:cs="仿宋"/>
          <w:sz w:val="28"/>
          <w:szCs w:val="28"/>
        </w:rPr>
        <w:t>第二节</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激发发展活力</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_Toc8283 \h </w:instrText>
      </w:r>
      <w:r>
        <w:rPr>
          <w:rFonts w:hint="eastAsia" w:ascii="仿宋" w:hAnsi="仿宋" w:eastAsia="仿宋" w:cs="仿宋"/>
          <w:sz w:val="28"/>
          <w:szCs w:val="28"/>
        </w:rPr>
        <w:fldChar w:fldCharType="separate"/>
      </w:r>
      <w:r>
        <w:rPr>
          <w:rFonts w:hint="eastAsia" w:ascii="仿宋" w:hAnsi="仿宋" w:eastAsia="仿宋" w:cs="仿宋"/>
          <w:sz w:val="28"/>
          <w:szCs w:val="28"/>
        </w:rPr>
        <w:t>95</w:t>
      </w:r>
      <w:r>
        <w:rPr>
          <w:rFonts w:hint="eastAsia" w:ascii="仿宋" w:hAnsi="仿宋" w:eastAsia="仿宋" w:cs="仿宋"/>
          <w:sz w:val="28"/>
          <w:szCs w:val="28"/>
        </w:rPr>
        <w:fldChar w:fldCharType="end"/>
      </w:r>
    </w:p>
    <w:p w14:paraId="73888084">
      <w:pPr>
        <w:pStyle w:val="16"/>
        <w:tabs>
          <w:tab w:val="right" w:leader="dot" w:pos="8306"/>
        </w:tabs>
        <w:rPr>
          <w:rFonts w:hint="eastAsia" w:ascii="仿宋" w:hAnsi="仿宋" w:eastAsia="仿宋" w:cs="仿宋"/>
          <w:sz w:val="28"/>
          <w:szCs w:val="28"/>
        </w:rPr>
      </w:pPr>
      <w:r>
        <w:rPr>
          <w:rFonts w:hint="eastAsia" w:ascii="仿宋" w:hAnsi="仿宋" w:eastAsia="仿宋" w:cs="仿宋"/>
          <w:sz w:val="28"/>
          <w:szCs w:val="28"/>
        </w:rPr>
        <w:t>第三节</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健全落实机制</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_Toc22719 \h </w:instrText>
      </w:r>
      <w:r>
        <w:rPr>
          <w:rFonts w:hint="eastAsia" w:ascii="仿宋" w:hAnsi="仿宋" w:eastAsia="仿宋" w:cs="仿宋"/>
          <w:sz w:val="28"/>
          <w:szCs w:val="28"/>
        </w:rPr>
        <w:fldChar w:fldCharType="separate"/>
      </w:r>
      <w:r>
        <w:rPr>
          <w:rFonts w:hint="eastAsia" w:ascii="仿宋" w:hAnsi="仿宋" w:eastAsia="仿宋" w:cs="仿宋"/>
          <w:sz w:val="28"/>
          <w:szCs w:val="28"/>
        </w:rPr>
        <w:t>97</w:t>
      </w:r>
      <w:r>
        <w:rPr>
          <w:rFonts w:hint="eastAsia" w:ascii="仿宋" w:hAnsi="仿宋" w:eastAsia="仿宋" w:cs="仿宋"/>
          <w:sz w:val="28"/>
          <w:szCs w:val="28"/>
        </w:rPr>
        <w:fldChar w:fldCharType="end"/>
      </w:r>
    </w:p>
    <w:p w14:paraId="7AEEFFA8">
      <w:pPr>
        <w:adjustRightInd w:val="0"/>
        <w:snapToGrid w:val="0"/>
        <w:spacing w:line="600" w:lineRule="exact"/>
        <w:jc w:val="center"/>
        <w:rPr>
          <w:rFonts w:hint="eastAsia" w:ascii="仿宋" w:hAnsi="仿宋" w:eastAsia="仿宋" w:cs="仿宋"/>
          <w:sz w:val="28"/>
          <w:szCs w:val="28"/>
        </w:rPr>
      </w:pPr>
      <w:r>
        <w:rPr>
          <w:rFonts w:hint="eastAsia" w:ascii="仿宋" w:hAnsi="仿宋" w:eastAsia="仿宋" w:cs="仿宋"/>
          <w:sz w:val="28"/>
          <w:szCs w:val="28"/>
        </w:rPr>
        <w:fldChar w:fldCharType="end"/>
      </w:r>
    </w:p>
    <w:p w14:paraId="27520776">
      <w:pPr>
        <w:jc w:val="center"/>
        <w:rPr>
          <w:rFonts w:hint="eastAsia" w:ascii="仿宋" w:hAnsi="仿宋" w:eastAsia="仿宋" w:cs="仿宋"/>
          <w:sz w:val="28"/>
          <w:szCs w:val="28"/>
        </w:rPr>
      </w:pPr>
    </w:p>
    <w:p w14:paraId="2C513B54">
      <w:pPr>
        <w:jc w:val="center"/>
        <w:rPr>
          <w:rFonts w:hint="eastAsia" w:ascii="仿宋" w:hAnsi="仿宋" w:eastAsia="仿宋" w:cs="仿宋"/>
          <w:sz w:val="28"/>
          <w:szCs w:val="28"/>
        </w:rPr>
        <w:sectPr>
          <w:footerReference r:id="rId3" w:type="default"/>
          <w:pgSz w:w="11906" w:h="16838"/>
          <w:pgMar w:top="1440" w:right="1800" w:bottom="1440" w:left="1800" w:header="851" w:footer="992" w:gutter="0"/>
          <w:pgNumType w:fmt="decimal" w:start="1"/>
          <w:cols w:space="720" w:num="1"/>
          <w:docGrid w:type="lines" w:linePitch="312" w:charSpace="0"/>
        </w:sectPr>
      </w:pPr>
    </w:p>
    <w:p w14:paraId="651DD91B">
      <w:pPr>
        <w:ind w:firstLine="640" w:firstLineChars="200"/>
        <w:rPr>
          <w:rFonts w:ascii="Times New Roman" w:hAnsi="Times New Roman" w:eastAsia="仿宋_GB2312"/>
          <w:sz w:val="32"/>
          <w:szCs w:val="32"/>
        </w:rPr>
      </w:pPr>
      <w:r>
        <w:rPr>
          <w:rFonts w:ascii="Times New Roman" w:hAnsi="Times New Roman" w:eastAsia="仿宋_GB2312"/>
          <w:sz w:val="32"/>
          <w:szCs w:val="32"/>
        </w:rPr>
        <w:t>桐城市国民经济和社会发展第十四个五年规划</w:t>
      </w:r>
      <w:r>
        <w:rPr>
          <w:rFonts w:hint="eastAsia" w:ascii="Times New Roman" w:hAnsi="Times New Roman" w:eastAsia="仿宋_GB2312"/>
          <w:sz w:val="32"/>
          <w:szCs w:val="32"/>
        </w:rPr>
        <w:t>和二</w:t>
      </w:r>
      <w:r>
        <w:rPr>
          <w:rFonts w:hint="eastAsia" w:ascii="微软雅黑" w:hAnsi="微软雅黑" w:eastAsia="微软雅黑" w:cs="微软雅黑"/>
          <w:sz w:val="32"/>
          <w:szCs w:val="32"/>
        </w:rPr>
        <w:t>〇</w:t>
      </w:r>
      <w:r>
        <w:rPr>
          <w:rFonts w:hint="eastAsia" w:ascii="Times New Roman" w:hAnsi="Times New Roman" w:eastAsia="仿宋_GB2312"/>
          <w:sz w:val="32"/>
          <w:szCs w:val="32"/>
        </w:rPr>
        <w:t>三五年远景目标</w:t>
      </w:r>
      <w:r>
        <w:rPr>
          <w:rFonts w:ascii="Times New Roman" w:hAnsi="Times New Roman" w:eastAsia="仿宋_GB2312"/>
          <w:sz w:val="32"/>
          <w:szCs w:val="32"/>
        </w:rPr>
        <w:t>纲要，根据党的十九届五中全会精神和《中共桐城市委关于制定桐城市国民经济和社会发展第十四个五年规划</w:t>
      </w:r>
      <w:r>
        <w:rPr>
          <w:rFonts w:hint="eastAsia" w:ascii="Times New Roman" w:hAnsi="Times New Roman" w:eastAsia="仿宋_GB2312"/>
          <w:sz w:val="32"/>
          <w:szCs w:val="32"/>
        </w:rPr>
        <w:t>和二</w:t>
      </w:r>
      <w:r>
        <w:rPr>
          <w:rFonts w:hint="eastAsia" w:ascii="微软雅黑" w:hAnsi="微软雅黑" w:eastAsia="微软雅黑" w:cs="微软雅黑"/>
          <w:sz w:val="32"/>
          <w:szCs w:val="32"/>
        </w:rPr>
        <w:t>〇</w:t>
      </w:r>
      <w:r>
        <w:rPr>
          <w:rFonts w:hint="eastAsia" w:ascii="Times New Roman" w:hAnsi="Times New Roman" w:eastAsia="仿宋_GB2312"/>
          <w:sz w:val="32"/>
          <w:szCs w:val="32"/>
        </w:rPr>
        <w:t>三五年远景目标</w:t>
      </w:r>
      <w:r>
        <w:rPr>
          <w:rFonts w:ascii="Times New Roman" w:hAnsi="Times New Roman" w:eastAsia="仿宋_GB2312"/>
          <w:sz w:val="32"/>
          <w:szCs w:val="32"/>
        </w:rPr>
        <w:t>的建议》编制，主要明确</w:t>
      </w:r>
      <w:r>
        <w:rPr>
          <w:rFonts w:hint="eastAsia" w:ascii="Times New Roman" w:hAnsi="Times New Roman" w:eastAsia="仿宋_GB2312"/>
          <w:sz w:val="32"/>
          <w:szCs w:val="32"/>
        </w:rPr>
        <w:t>“</w:t>
      </w:r>
      <w:r>
        <w:rPr>
          <w:rFonts w:ascii="Times New Roman" w:hAnsi="Times New Roman" w:eastAsia="仿宋_GB2312"/>
          <w:sz w:val="32"/>
          <w:szCs w:val="32"/>
        </w:rPr>
        <w:t>十四五</w:t>
      </w:r>
      <w:r>
        <w:rPr>
          <w:rFonts w:hint="eastAsia" w:ascii="Times New Roman" w:hAnsi="Times New Roman" w:eastAsia="仿宋_GB2312"/>
          <w:sz w:val="32"/>
          <w:szCs w:val="32"/>
        </w:rPr>
        <w:t>”</w:t>
      </w:r>
      <w:r>
        <w:rPr>
          <w:rFonts w:ascii="Times New Roman" w:hAnsi="Times New Roman" w:eastAsia="仿宋_GB2312"/>
          <w:sz w:val="32"/>
          <w:szCs w:val="32"/>
        </w:rPr>
        <w:t>时期桐城市经济社会发展指导思想、基本原则、发展目标，</w:t>
      </w:r>
      <w:r>
        <w:rPr>
          <w:rFonts w:hint="eastAsia" w:ascii="Times New Roman" w:hAnsi="Times New Roman" w:eastAsia="仿宋_GB2312"/>
          <w:sz w:val="32"/>
          <w:szCs w:val="32"/>
        </w:rPr>
        <w:t>展望到二</w:t>
      </w:r>
      <w:r>
        <w:rPr>
          <w:rFonts w:hint="eastAsia" w:ascii="微软雅黑" w:hAnsi="微软雅黑" w:eastAsia="微软雅黑" w:cs="微软雅黑"/>
          <w:sz w:val="32"/>
          <w:szCs w:val="32"/>
        </w:rPr>
        <w:t>〇</w:t>
      </w:r>
      <w:r>
        <w:rPr>
          <w:rFonts w:hint="eastAsia" w:ascii="Times New Roman" w:hAnsi="Times New Roman" w:eastAsia="仿宋_GB2312"/>
          <w:sz w:val="32"/>
          <w:szCs w:val="32"/>
        </w:rPr>
        <w:t>三五年基本实现社会主义现代化远景目标，</w:t>
      </w:r>
      <w:r>
        <w:rPr>
          <w:rFonts w:ascii="Times New Roman" w:hAnsi="Times New Roman" w:eastAsia="仿宋_GB2312"/>
          <w:sz w:val="32"/>
          <w:szCs w:val="32"/>
        </w:rPr>
        <w:t>谋划重大战略，部署重大任务，实施重大工程，确定政府工作重点，引导市场主体行为，是全市各级政府依法履行职责的重要依据，是未来五年</w:t>
      </w:r>
      <w:r>
        <w:rPr>
          <w:rFonts w:hint="eastAsia" w:ascii="Times New Roman" w:hAnsi="Times New Roman" w:eastAsia="仿宋_GB2312"/>
          <w:sz w:val="32"/>
          <w:szCs w:val="32"/>
        </w:rPr>
        <w:t>到十五年</w:t>
      </w:r>
      <w:r>
        <w:rPr>
          <w:rFonts w:ascii="Times New Roman" w:hAnsi="Times New Roman" w:eastAsia="仿宋_GB2312"/>
          <w:sz w:val="32"/>
          <w:szCs w:val="32"/>
        </w:rPr>
        <w:t>我市经济社会发展的宏伟蓝图</w:t>
      </w:r>
      <w:r>
        <w:rPr>
          <w:rFonts w:hint="eastAsia" w:ascii="Times New Roman" w:hAnsi="Times New Roman" w:eastAsia="仿宋_GB2312"/>
          <w:sz w:val="32"/>
          <w:szCs w:val="32"/>
        </w:rPr>
        <w:t>和</w:t>
      </w:r>
      <w:r>
        <w:rPr>
          <w:rFonts w:ascii="Times New Roman" w:hAnsi="Times New Roman" w:eastAsia="仿宋_GB2312"/>
          <w:sz w:val="32"/>
          <w:szCs w:val="32"/>
        </w:rPr>
        <w:t>全市人民共同的行动纲领。</w:t>
      </w:r>
    </w:p>
    <w:p w14:paraId="3199EFAF">
      <w:pPr>
        <w:pStyle w:val="3"/>
        <w:spacing w:before="100" w:beforeAutospacing="1" w:after="100" w:afterAutospacing="1"/>
        <w:jc w:val="center"/>
        <w:rPr>
          <w:rFonts w:eastAsia="方正小标宋简体"/>
        </w:rPr>
      </w:pPr>
      <w:bookmarkStart w:id="0" w:name="_Toc346"/>
      <w:bookmarkStart w:id="1" w:name="_Toc53003416"/>
      <w:r>
        <w:rPr>
          <w:rFonts w:hint="eastAsia" w:eastAsia="方正小标宋简体"/>
        </w:rPr>
        <w:t>决胜全面小康</w:t>
      </w:r>
      <w:r>
        <w:rPr>
          <w:rFonts w:eastAsia="方正小标宋简体"/>
        </w:rPr>
        <w:t>，迈出</w:t>
      </w:r>
      <w:r>
        <w:rPr>
          <w:rFonts w:hint="eastAsia" w:eastAsia="方正小标宋简体"/>
        </w:rPr>
        <w:t>强富美</w:t>
      </w:r>
      <w:r>
        <w:rPr>
          <w:rFonts w:eastAsia="方正小标宋简体"/>
        </w:rPr>
        <w:t>桐城建设新步伐</w:t>
      </w:r>
      <w:bookmarkEnd w:id="0"/>
      <w:bookmarkEnd w:id="1"/>
    </w:p>
    <w:p w14:paraId="593E7A54">
      <w:pPr>
        <w:pStyle w:val="5"/>
      </w:pPr>
      <w:bookmarkStart w:id="2" w:name="_Toc53003417"/>
      <w:bookmarkStart w:id="3" w:name="_Toc5218"/>
      <w:r>
        <w:t>第一节</w:t>
      </w:r>
      <w:r>
        <w:rPr>
          <w:rFonts w:hint="eastAsia"/>
          <w:lang w:val="en-US" w:eastAsia="zh-CN"/>
        </w:rPr>
        <w:t xml:space="preserve"> </w:t>
      </w:r>
      <w:r>
        <w:rPr>
          <w:rFonts w:hint="eastAsia"/>
        </w:rPr>
        <w:t>决胜全面建成小康社会取得决定性</w:t>
      </w:r>
      <w:r>
        <w:t>成就</w:t>
      </w:r>
      <w:bookmarkEnd w:id="2"/>
      <w:bookmarkEnd w:id="3"/>
    </w:p>
    <w:p w14:paraId="2E09DAF2">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十三五</w:t>
      </w:r>
      <w:r>
        <w:rPr>
          <w:rFonts w:hint="eastAsia" w:ascii="Times New Roman" w:hAnsi="Times New Roman" w:eastAsia="仿宋_GB2312"/>
          <w:sz w:val="32"/>
          <w:szCs w:val="32"/>
        </w:rPr>
        <w:t>”时期是全面建成小康社会决胜阶段。</w:t>
      </w:r>
      <w:r>
        <w:rPr>
          <w:rFonts w:ascii="Times New Roman" w:hAnsi="Times New Roman" w:eastAsia="仿宋_GB2312"/>
          <w:sz w:val="32"/>
          <w:szCs w:val="40"/>
        </w:rPr>
        <w:t>面对复杂多变的内外部环境</w:t>
      </w:r>
      <w:r>
        <w:rPr>
          <w:rFonts w:hint="eastAsia" w:ascii="Times New Roman" w:hAnsi="Times New Roman" w:eastAsia="仿宋_GB2312"/>
          <w:sz w:val="32"/>
          <w:szCs w:val="40"/>
        </w:rPr>
        <w:t>、艰巨复杂的改革发展稳定任务，</w:t>
      </w:r>
      <w:r>
        <w:rPr>
          <w:rFonts w:hint="eastAsia" w:ascii="Times New Roman" w:hAnsi="Times New Roman" w:eastAsia="仿宋_GB2312"/>
          <w:sz w:val="32"/>
          <w:szCs w:val="32"/>
        </w:rPr>
        <w:t>在省委省政府、安庆市委市政府的坚强领导下，坚持以习近平新时代中国特色社会主义思想为指导，深入贯彻党的十九大和十九届二中、三中、四中、五中全会精神，认真落实习近平总书记考察安徽重要讲话指示精神，全市上下</w:t>
      </w:r>
      <w:r>
        <w:rPr>
          <w:rFonts w:ascii="Times New Roman" w:hAnsi="Times New Roman" w:eastAsia="仿宋_GB2312"/>
          <w:sz w:val="32"/>
          <w:szCs w:val="40"/>
        </w:rPr>
        <w:t>大力弘扬改革创新、敢为人先精神，</w:t>
      </w:r>
      <w:r>
        <w:rPr>
          <w:rFonts w:hint="eastAsia" w:ascii="Times New Roman" w:hAnsi="Times New Roman" w:eastAsia="仿宋_GB2312"/>
          <w:sz w:val="32"/>
          <w:szCs w:val="32"/>
        </w:rPr>
        <w:t>咬定目标、坚定信心、顽强拼搏、奋勇前行，以“双复双重”“552”目标统领推进经济社会发展，</w:t>
      </w:r>
      <w:r>
        <w:rPr>
          <w:rFonts w:ascii="Times New Roman" w:hAnsi="Times New Roman" w:eastAsia="仿宋_GB2312"/>
          <w:sz w:val="32"/>
          <w:szCs w:val="40"/>
        </w:rPr>
        <w:t>现代化五大发展美好桐城建设取得决定性成就</w:t>
      </w:r>
      <w:r>
        <w:rPr>
          <w:rFonts w:hint="eastAsia" w:ascii="Times New Roman" w:hAnsi="Times New Roman" w:eastAsia="仿宋_GB2312"/>
          <w:sz w:val="32"/>
          <w:szCs w:val="32"/>
        </w:rPr>
        <w:t>。</w:t>
      </w:r>
    </w:p>
    <w:p w14:paraId="2330CE78">
      <w:pPr>
        <w:spacing w:line="62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综合实力迈上新台阶。</w:t>
      </w:r>
      <w:r>
        <w:rPr>
          <w:rFonts w:hint="eastAsia" w:ascii="仿宋_GB2312" w:hAnsi="仿宋_GB2312" w:eastAsia="仿宋_GB2312" w:cs="仿宋_GB2312"/>
          <w:sz w:val="32"/>
          <w:szCs w:val="32"/>
        </w:rPr>
        <w:t>2020年地区生产总值近</w:t>
      </w:r>
      <w:r>
        <w:rPr>
          <w:rFonts w:hint="eastAsia" w:ascii="仿宋_GB2312" w:hAnsi="仿宋_GB2312" w:eastAsia="仿宋_GB2312" w:cs="仿宋_GB2312"/>
          <w:sz w:val="32"/>
          <w:szCs w:val="32"/>
          <w:lang w:val="en-US" w:eastAsia="zh-CN"/>
        </w:rPr>
        <w:t>392.8</w:t>
      </w:r>
      <w:r>
        <w:rPr>
          <w:rFonts w:hint="eastAsia" w:ascii="仿宋_GB2312" w:hAnsi="仿宋_GB2312" w:eastAsia="仿宋_GB2312" w:cs="仿宋_GB2312"/>
          <w:sz w:val="32"/>
          <w:szCs w:val="32"/>
        </w:rPr>
        <w:t>亿元，比2015年净增1</w:t>
      </w:r>
      <w:r>
        <w:rPr>
          <w:rFonts w:hint="eastAsia" w:ascii="仿宋_GB2312" w:hAnsi="仿宋_GB2312" w:eastAsia="仿宋_GB2312" w:cs="仿宋_GB2312"/>
          <w:sz w:val="32"/>
          <w:szCs w:val="32"/>
          <w:lang w:val="en-US" w:eastAsia="zh-CN"/>
        </w:rPr>
        <w:t>65</w:t>
      </w:r>
      <w:r>
        <w:rPr>
          <w:rFonts w:hint="eastAsia" w:ascii="仿宋_GB2312" w:hAnsi="仿宋_GB2312" w:eastAsia="仿宋_GB2312" w:cs="仿宋_GB2312"/>
          <w:sz w:val="32"/>
          <w:szCs w:val="32"/>
        </w:rPr>
        <w:t>亿元以上；财政收入达31</w:t>
      </w:r>
      <w:r>
        <w:rPr>
          <w:rFonts w:hint="eastAsia" w:ascii="仿宋_GB2312" w:hAnsi="仿宋_GB2312" w:eastAsia="仿宋_GB2312" w:cs="仿宋_GB2312"/>
          <w:sz w:val="32"/>
          <w:szCs w:val="32"/>
          <w:lang w:val="en-US" w:eastAsia="zh-CN"/>
        </w:rPr>
        <w:t>.06</w:t>
      </w:r>
      <w:r>
        <w:rPr>
          <w:rFonts w:ascii="仿宋_GB2312" w:hAnsi="仿宋_GB2312" w:eastAsia="仿宋_GB2312" w:cs="仿宋_GB2312"/>
          <w:sz w:val="32"/>
          <w:szCs w:val="32"/>
        </w:rPr>
        <w:t>亿元，</w:t>
      </w:r>
      <w:r>
        <w:rPr>
          <w:rFonts w:hint="eastAsia" w:ascii="仿宋_GB2312" w:hAnsi="仿宋_GB2312" w:eastAsia="仿宋_GB2312" w:cs="仿宋_GB2312"/>
          <w:sz w:val="32"/>
          <w:szCs w:val="32"/>
        </w:rPr>
        <w:t>比2015年净增</w:t>
      </w:r>
      <w:r>
        <w:rPr>
          <w:rFonts w:hint="eastAsia" w:ascii="仿宋_GB2312" w:hAnsi="仿宋_GB2312" w:eastAsia="仿宋_GB2312" w:cs="仿宋_GB2312"/>
          <w:sz w:val="32"/>
          <w:szCs w:val="32"/>
          <w:lang w:val="en-US" w:eastAsia="zh-CN"/>
        </w:rPr>
        <w:t>近</w:t>
      </w:r>
      <w:r>
        <w:rPr>
          <w:rFonts w:hint="eastAsia" w:ascii="仿宋_GB2312" w:hAnsi="仿宋_GB2312" w:eastAsia="仿宋_GB2312" w:cs="仿宋_GB2312"/>
          <w:sz w:val="32"/>
          <w:szCs w:val="32"/>
        </w:rPr>
        <w:t>10亿元。央企合作取得突出成效，中建材浚鑫、凯盛智慧农业产业园等一批大项目建成投产，投资73亿元的抽水蓄能电站开工建设。全市现有企业16000多家，比2015年增加10000家以上。我市获评全省制造业综合十强县、增速十快县</w:t>
      </w:r>
      <w:r>
        <w:rPr>
          <w:rFonts w:hint="eastAsia" w:ascii="Times New Roman" w:hAnsi="Times New Roman" w:eastAsia="仿宋_GB2312"/>
          <w:sz w:val="32"/>
          <w:szCs w:val="32"/>
        </w:rPr>
        <w:t>，经开区连续两年跻身全省三十强</w:t>
      </w:r>
      <w:r>
        <w:rPr>
          <w:rFonts w:hint="eastAsia" w:ascii="仿宋_GB2312" w:hAnsi="仿宋_GB2312" w:eastAsia="仿宋_GB2312" w:cs="仿宋_GB2312"/>
          <w:sz w:val="32"/>
          <w:szCs w:val="32"/>
        </w:rPr>
        <w:t>。</w:t>
      </w:r>
    </w:p>
    <w:p w14:paraId="1A591AF3">
      <w:pPr>
        <w:pStyle w:val="9"/>
        <w:ind w:firstLine="0" w:firstLineChars="0"/>
        <w:jc w:val="center"/>
        <w:rPr>
          <w:rFonts w:eastAsia="仿宋_GB2312"/>
        </w:rPr>
      </w:pPr>
      <w:r>
        <w:rPr>
          <w:rFonts w:hint="eastAsia" w:eastAsia="仿宋_GB2312"/>
        </w:rPr>
        <w:drawing>
          <wp:inline distT="0" distB="0" distL="114300" distR="114300">
            <wp:extent cx="3564890" cy="2519680"/>
            <wp:effectExtent l="0" t="0" r="16510" b="13970"/>
            <wp:docPr id="5" name="图片 5" descr="C:\Users\Administrator\Desktop\桐城十四五纲要\地区生产总值.jpg地区生产总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桐城十四五纲要\地区生产总值.jpg地区生产总值"/>
                    <pic:cNvPicPr>
                      <a:picLocks noChangeAspect="1"/>
                    </pic:cNvPicPr>
                  </pic:nvPicPr>
                  <pic:blipFill>
                    <a:blip r:embed="rId8"/>
                    <a:srcRect/>
                    <a:stretch>
                      <a:fillRect/>
                    </a:stretch>
                  </pic:blipFill>
                  <pic:spPr>
                    <a:xfrm>
                      <a:off x="0" y="0"/>
                      <a:ext cx="3564890" cy="2519680"/>
                    </a:xfrm>
                    <a:prstGeom prst="rect">
                      <a:avLst/>
                    </a:prstGeom>
                  </pic:spPr>
                </pic:pic>
              </a:graphicData>
            </a:graphic>
          </wp:inline>
        </w:drawing>
      </w:r>
    </w:p>
    <w:p w14:paraId="348AEB81">
      <w:pPr>
        <w:pStyle w:val="9"/>
        <w:ind w:firstLine="0" w:firstLineChars="0"/>
        <w:jc w:val="center"/>
        <w:rPr>
          <w:rFonts w:eastAsia="仿宋_GB2312"/>
        </w:rPr>
      </w:pPr>
      <w:r>
        <w:rPr>
          <w:rFonts w:hint="eastAsia" w:eastAsia="仿宋_GB2312"/>
        </w:rPr>
        <w:t>图1 桐城市“十三五”时期地区生产总值增长情况</w:t>
      </w:r>
    </w:p>
    <w:p w14:paraId="49883279">
      <w:pPr>
        <w:pStyle w:val="9"/>
        <w:ind w:firstLine="0" w:firstLineChars="0"/>
        <w:jc w:val="center"/>
        <w:rPr>
          <w:rFonts w:eastAsia="仿宋_GB2312"/>
        </w:rPr>
      </w:pPr>
      <w:r>
        <w:rPr>
          <w:rFonts w:hint="eastAsia" w:eastAsia="仿宋_GB2312"/>
        </w:rPr>
        <w:drawing>
          <wp:inline distT="0" distB="0" distL="114300" distR="114300">
            <wp:extent cx="3563620" cy="2519680"/>
            <wp:effectExtent l="0" t="0" r="17780" b="13970"/>
            <wp:docPr id="6" name="图片 6" descr="C:\Users\Administrator\Desktop\桐城十四五纲要\财政收入.jpg财政收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Administrator\Desktop\桐城十四五纲要\财政收入.jpg财政收入"/>
                    <pic:cNvPicPr>
                      <a:picLocks noChangeAspect="1"/>
                    </pic:cNvPicPr>
                  </pic:nvPicPr>
                  <pic:blipFill>
                    <a:blip r:embed="rId9"/>
                    <a:srcRect/>
                    <a:stretch>
                      <a:fillRect/>
                    </a:stretch>
                  </pic:blipFill>
                  <pic:spPr>
                    <a:xfrm>
                      <a:off x="0" y="0"/>
                      <a:ext cx="3563620" cy="2519680"/>
                    </a:xfrm>
                    <a:prstGeom prst="rect">
                      <a:avLst/>
                    </a:prstGeom>
                  </pic:spPr>
                </pic:pic>
              </a:graphicData>
            </a:graphic>
          </wp:inline>
        </w:drawing>
      </w:r>
    </w:p>
    <w:p w14:paraId="28B50AAC">
      <w:pPr>
        <w:pStyle w:val="9"/>
        <w:ind w:firstLine="0" w:firstLineChars="0"/>
        <w:jc w:val="center"/>
        <w:rPr>
          <w:rFonts w:eastAsia="仿宋_GB2312"/>
        </w:rPr>
      </w:pPr>
      <w:r>
        <w:rPr>
          <w:rFonts w:hint="eastAsia" w:eastAsia="仿宋_GB2312"/>
        </w:rPr>
        <w:t>图2 桐城市“十三五”时期财政收入增长情况</w:t>
      </w:r>
    </w:p>
    <w:p w14:paraId="3A9226AB">
      <w:pPr>
        <w:pStyle w:val="9"/>
        <w:ind w:firstLine="0" w:firstLineChars="0"/>
        <w:jc w:val="center"/>
        <w:rPr>
          <w:rFonts w:eastAsia="仿宋_GB2312"/>
        </w:rPr>
      </w:pPr>
    </w:p>
    <w:p w14:paraId="35CEC294">
      <w:pPr>
        <w:pStyle w:val="9"/>
        <w:ind w:firstLine="0" w:firstLineChars="0"/>
        <w:jc w:val="center"/>
        <w:rPr>
          <w:rFonts w:eastAsia="仿宋_GB2312"/>
        </w:rPr>
      </w:pPr>
      <w:r>
        <w:rPr>
          <w:rFonts w:hint="eastAsia" w:eastAsia="仿宋_GB2312"/>
        </w:rPr>
        <w:drawing>
          <wp:inline distT="0" distB="0" distL="114300" distR="114300">
            <wp:extent cx="3564890" cy="2519680"/>
            <wp:effectExtent l="0" t="0" r="16510" b="13970"/>
            <wp:docPr id="7" name="图片 7" descr="C:\Users\Administrator\Desktop\桐城十四五纲要\城镇农村收入.jpg城镇农村收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Administrator\Desktop\桐城十四五纲要\城镇农村收入.jpg城镇农村收入"/>
                    <pic:cNvPicPr>
                      <a:picLocks noChangeAspect="1"/>
                    </pic:cNvPicPr>
                  </pic:nvPicPr>
                  <pic:blipFill>
                    <a:blip r:embed="rId10"/>
                    <a:srcRect/>
                    <a:stretch>
                      <a:fillRect/>
                    </a:stretch>
                  </pic:blipFill>
                  <pic:spPr>
                    <a:xfrm>
                      <a:off x="0" y="0"/>
                      <a:ext cx="3564890" cy="2519680"/>
                    </a:xfrm>
                    <a:prstGeom prst="rect">
                      <a:avLst/>
                    </a:prstGeom>
                  </pic:spPr>
                </pic:pic>
              </a:graphicData>
            </a:graphic>
          </wp:inline>
        </w:drawing>
      </w:r>
    </w:p>
    <w:p w14:paraId="760ADDCA">
      <w:pPr>
        <w:pStyle w:val="9"/>
        <w:ind w:firstLine="0" w:firstLineChars="0"/>
        <w:jc w:val="center"/>
        <w:rPr>
          <w:rFonts w:eastAsia="仿宋_GB2312"/>
        </w:rPr>
      </w:pPr>
      <w:r>
        <w:rPr>
          <w:rFonts w:hint="eastAsia" w:eastAsia="仿宋_GB2312"/>
        </w:rPr>
        <w:t>图3 桐城市“十三五”时期城乡人均可支配收入增长情况</w:t>
      </w:r>
    </w:p>
    <w:p w14:paraId="3ECA36CB">
      <w:pPr>
        <w:pStyle w:val="9"/>
        <w:ind w:firstLine="0" w:firstLineChars="0"/>
        <w:jc w:val="center"/>
        <w:rPr>
          <w:rFonts w:eastAsia="仿宋_GB2312"/>
        </w:rPr>
      </w:pPr>
    </w:p>
    <w:p w14:paraId="7BC4089D">
      <w:pPr>
        <w:pStyle w:val="9"/>
        <w:ind w:firstLine="0" w:firstLineChars="0"/>
        <w:jc w:val="center"/>
        <w:rPr>
          <w:rFonts w:eastAsia="仿宋_GB2312"/>
        </w:rPr>
      </w:pPr>
      <w:r>
        <w:rPr>
          <w:rFonts w:hint="eastAsia" w:eastAsia="仿宋_GB2312"/>
        </w:rPr>
        <w:drawing>
          <wp:inline distT="0" distB="0" distL="114300" distR="114300">
            <wp:extent cx="3564890" cy="2519680"/>
            <wp:effectExtent l="0" t="0" r="16510" b="13970"/>
            <wp:docPr id="8" name="图片 8" descr="C:\Users\Administrator\Desktop\桐城十四五纲要\三次产业结构.jpg三次产业结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Users\Administrator\Desktop\桐城十四五纲要\三次产业结构.jpg三次产业结构"/>
                    <pic:cNvPicPr>
                      <a:picLocks noChangeAspect="1"/>
                    </pic:cNvPicPr>
                  </pic:nvPicPr>
                  <pic:blipFill>
                    <a:blip r:embed="rId11"/>
                    <a:srcRect/>
                    <a:stretch>
                      <a:fillRect/>
                    </a:stretch>
                  </pic:blipFill>
                  <pic:spPr>
                    <a:xfrm>
                      <a:off x="0" y="0"/>
                      <a:ext cx="3564890" cy="2519680"/>
                    </a:xfrm>
                    <a:prstGeom prst="rect">
                      <a:avLst/>
                    </a:prstGeom>
                  </pic:spPr>
                </pic:pic>
              </a:graphicData>
            </a:graphic>
          </wp:inline>
        </w:drawing>
      </w:r>
    </w:p>
    <w:p w14:paraId="79DEC8EB">
      <w:pPr>
        <w:pStyle w:val="9"/>
        <w:ind w:firstLine="0" w:firstLineChars="0"/>
        <w:jc w:val="center"/>
        <w:rPr>
          <w:rFonts w:eastAsia="仿宋_GB2312"/>
        </w:rPr>
      </w:pPr>
      <w:r>
        <w:rPr>
          <w:rFonts w:hint="eastAsia" w:eastAsia="仿宋_GB2312"/>
        </w:rPr>
        <w:t>图4 桐城市“十三五”时期产业结构变化情况</w:t>
      </w:r>
    </w:p>
    <w:p w14:paraId="1AEE7B83">
      <w:pPr>
        <w:spacing w:line="62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城乡品位迈上新台阶。</w:t>
      </w:r>
      <w:r>
        <w:rPr>
          <w:rFonts w:hint="eastAsia" w:ascii="仿宋_GB2312" w:hAnsi="仿宋_GB2312" w:eastAsia="仿宋_GB2312" w:cs="仿宋_GB2312"/>
          <w:sz w:val="32"/>
          <w:szCs w:val="32"/>
        </w:rPr>
        <w:t>占地9平方公里的东部新城加速建设，东部新城主体框架已经拉开，桐城师专、市医院新区基本建成，新八中已投入使用。合安高铁建成通车，建成62公里一级公路。引江济淮、德上高速、无岳高速工程拉开序幕，棚户区改造力度不断加大，农贸市场、大街小巷、老旧小区焕然一新，</w:t>
      </w:r>
      <w:r>
        <w:rPr>
          <w:rFonts w:ascii="仿宋_GB2312" w:hAnsi="仿宋_GB2312" w:eastAsia="仿宋_GB2312" w:cs="仿宋_GB2312"/>
          <w:sz w:val="32"/>
          <w:szCs w:val="32"/>
        </w:rPr>
        <w:t>农村人居环境整治深入开展</w:t>
      </w:r>
      <w:r>
        <w:rPr>
          <w:rFonts w:hint="eastAsia" w:ascii="仿宋_GB2312" w:hAnsi="仿宋_GB2312" w:eastAsia="仿宋_GB2312" w:cs="仿宋_GB2312"/>
          <w:sz w:val="32"/>
          <w:szCs w:val="32"/>
        </w:rPr>
        <w:t>，建成美丽乡村中心村146个，全国文明城市、国家园林城市首创首成。</w:t>
      </w:r>
    </w:p>
    <w:p w14:paraId="249D66E2">
      <w:pPr>
        <w:spacing w:line="62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生态环境迈上新台阶。</w:t>
      </w:r>
      <w:r>
        <w:rPr>
          <w:rFonts w:hint="eastAsia" w:ascii="仿宋_GB2312" w:hAnsi="仿宋_GB2312" w:eastAsia="仿宋_GB2312" w:cs="仿宋_GB2312"/>
          <w:sz w:val="32"/>
          <w:szCs w:val="32"/>
        </w:rPr>
        <w:t>狠抓突出环境问题整改，污染防治攻坚战取得阶段性成效，</w:t>
      </w:r>
      <w:r>
        <w:rPr>
          <w:rFonts w:ascii="仿宋_GB2312" w:hAnsi="仿宋_GB2312" w:eastAsia="仿宋_GB2312" w:cs="仿宋_GB2312"/>
          <w:sz w:val="32"/>
          <w:szCs w:val="32"/>
        </w:rPr>
        <w:t>黑臭水体治理</w:t>
      </w:r>
      <w:r>
        <w:rPr>
          <w:rFonts w:hint="eastAsia" w:ascii="仿宋_GB2312" w:hAnsi="仿宋_GB2312" w:eastAsia="仿宋_GB2312" w:cs="仿宋_GB2312"/>
          <w:sz w:val="32"/>
          <w:szCs w:val="32"/>
        </w:rPr>
        <w:t>扎实</w:t>
      </w:r>
      <w:r>
        <w:rPr>
          <w:rFonts w:ascii="仿宋_GB2312" w:hAnsi="仿宋_GB2312" w:eastAsia="仿宋_GB2312" w:cs="仿宋_GB2312"/>
          <w:sz w:val="32"/>
          <w:szCs w:val="32"/>
        </w:rPr>
        <w:t>推进，</w:t>
      </w:r>
      <w:r>
        <w:rPr>
          <w:rFonts w:hint="eastAsia" w:ascii="仿宋_GB2312" w:hAnsi="仿宋_GB2312" w:eastAsia="仿宋_GB2312" w:cs="仿宋_GB2312"/>
          <w:sz w:val="32"/>
          <w:szCs w:val="32"/>
        </w:rPr>
        <w:t>镇政府驻地生活污水处理设施实现全覆盖，PM2.5平均浓度下降明显，空气优良天数大幅提高。林长制改革走在全省前列，</w:t>
      </w:r>
      <w:r>
        <w:rPr>
          <w:rFonts w:ascii="仿宋_GB2312" w:hAnsi="仿宋_GB2312" w:eastAsia="仿宋_GB2312" w:cs="仿宋_GB2312"/>
          <w:sz w:val="32"/>
          <w:szCs w:val="32"/>
        </w:rPr>
        <w:t>护绿、增绿、管绿、用绿、活绿</w:t>
      </w:r>
      <w:r>
        <w:rPr>
          <w:rFonts w:hint="eastAsia" w:ascii="仿宋_GB2312" w:hAnsi="仿宋_GB2312" w:eastAsia="仿宋_GB2312" w:cs="仿宋_GB2312"/>
          <w:sz w:val="32"/>
          <w:szCs w:val="32"/>
        </w:rPr>
        <w:t>成效明显。河长制、湖长制工作有力推进，“五清四乱”专项行动扎实开展，河湖管理保护体制机制不断健全。我市获评全省生态文明建设示范市。</w:t>
      </w:r>
    </w:p>
    <w:p w14:paraId="09FBB48E">
      <w:pPr>
        <w:spacing w:line="62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民生福祉迈上新台阶。</w:t>
      </w:r>
      <w:r>
        <w:rPr>
          <w:rFonts w:hint="eastAsia" w:ascii="仿宋_GB2312" w:hAnsi="仿宋_GB2312" w:eastAsia="仿宋_GB2312" w:cs="仿宋_GB2312"/>
          <w:sz w:val="32"/>
          <w:szCs w:val="32"/>
        </w:rPr>
        <w:t>投入76亿元用于民生工程建设，城乡居民收入水平、农村基础设施和基本公共服务水平持续提升，修建通村道路2200多公里，新开通公交线路25条，人民群众交通出行更加便捷，获评全省城乡道路客运一体化示范市。就业、文化、教育、医疗等事业繁荣发展。脱贫攻坚成果显著，2.1万余户、6.</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万余人全部脱贫，26个贫困村全部出列。</w:t>
      </w:r>
    </w:p>
    <w:p w14:paraId="26C36D4D">
      <w:pPr>
        <w:spacing w:line="62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治理能力迈上新台阶。</w:t>
      </w:r>
      <w:r>
        <w:rPr>
          <w:rFonts w:hint="eastAsia" w:ascii="仿宋_GB2312" w:hAnsi="仿宋_GB2312" w:eastAsia="仿宋_GB2312" w:cs="仿宋_GB2312"/>
          <w:sz w:val="32"/>
          <w:szCs w:val="32"/>
        </w:rPr>
        <w:t>民主法治建设扎实推进，人大及其常委会监督推进作用充分彰显，人民政协专门协商机构作用有效发挥，爱国统一战线巩固发展，工会、共青团、妇联、科协等群团组织桥梁纽带作用进一步发挥，荣膺全国科普示范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安徽省两纲示范县（市区）。创新推行“六尺巷调解工作法”“文都e家”网格管理、镇级人大民生实事票决制，自治法治德治有机融合，社会治理效能有效提升。省防震减灾示范县创建成功。国防动员工作、平安建设不断加强，全市社会大局和谐稳定。</w:t>
      </w:r>
    </w:p>
    <w:p w14:paraId="7E5CF499">
      <w:pPr>
        <w:spacing w:line="62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党建水平迈上新台阶。</w:t>
      </w:r>
      <w:r>
        <w:rPr>
          <w:rFonts w:hint="eastAsia" w:ascii="仿宋_GB2312" w:hAnsi="仿宋_GB2312" w:eastAsia="仿宋_GB2312" w:cs="仿宋_GB2312"/>
          <w:sz w:val="32"/>
          <w:szCs w:val="32"/>
        </w:rPr>
        <w:t>以提升组织力为重点，大力推进基层党组织标准化规范化建设。“两学一做”常态化制度化，“不忘初心、牢记使命”主题教育扎实开展。非公、农村、社区、学校、机关等各领域党建工作全面加强，村集体经济发展水平位居安庆市前列，跻身全国城市基层党建示范市，江胜霞当选党的十九大代表。全面从严治党深入推进，认真开展“讲严立”“严强转”“三个以案”警示教育，从严整改省委巡视反馈问题，着力纠治形式主义官僚主义，党风廉政建设成效突出，风清气正的政治生态持续巩固。</w:t>
      </w:r>
    </w:p>
    <w:p w14:paraId="102D6503">
      <w:pPr>
        <w:jc w:val="center"/>
        <w:rPr>
          <w:rFonts w:ascii="Times New Roman" w:hAnsi="Times New Roman" w:eastAsia="黑体"/>
          <w:sz w:val="28"/>
          <w:szCs w:val="28"/>
        </w:rPr>
      </w:pPr>
      <w:r>
        <w:rPr>
          <w:rFonts w:ascii="Times New Roman" w:hAnsi="Times New Roman" w:eastAsia="黑体"/>
          <w:sz w:val="28"/>
          <w:szCs w:val="28"/>
        </w:rPr>
        <w:t>表1 “十三五”规划纲要主要目标完成情况</w:t>
      </w:r>
    </w:p>
    <w:tbl>
      <w:tblPr>
        <w:tblStyle w:val="19"/>
        <w:tblW w:w="8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874"/>
        <w:gridCol w:w="1505"/>
        <w:gridCol w:w="1505"/>
        <w:gridCol w:w="1012"/>
        <w:gridCol w:w="907"/>
      </w:tblGrid>
      <w:tr w14:paraId="452BA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9" w:hRule="atLeast"/>
          <w:tblHeader/>
          <w:jc w:val="center"/>
        </w:trPr>
        <w:tc>
          <w:tcPr>
            <w:tcW w:w="3874" w:type="dxa"/>
            <w:shd w:val="clear" w:color="auto" w:fill="auto"/>
            <w:vAlign w:val="center"/>
          </w:tcPr>
          <w:p w14:paraId="3E42A6F0">
            <w:pPr>
              <w:widowControl/>
              <w:spacing w:line="280" w:lineRule="exact"/>
              <w:jc w:val="center"/>
              <w:rPr>
                <w:rFonts w:ascii="Times New Roman" w:hAnsi="Times New Roman" w:eastAsia="方正黑体_GBK"/>
                <w:bCs/>
                <w:kern w:val="0"/>
                <w:sz w:val="24"/>
              </w:rPr>
            </w:pPr>
            <w:r>
              <w:rPr>
                <w:rFonts w:ascii="Times New Roman" w:hAnsi="Times New Roman" w:eastAsia="方正黑体_GBK"/>
                <w:bCs/>
                <w:kern w:val="0"/>
                <w:sz w:val="24"/>
              </w:rPr>
              <w:t>指标名称</w:t>
            </w:r>
          </w:p>
        </w:tc>
        <w:tc>
          <w:tcPr>
            <w:tcW w:w="1505" w:type="dxa"/>
            <w:shd w:val="clear" w:color="auto" w:fill="auto"/>
            <w:vAlign w:val="center"/>
          </w:tcPr>
          <w:p w14:paraId="140D0783">
            <w:pPr>
              <w:widowControl/>
              <w:spacing w:line="280" w:lineRule="exact"/>
              <w:jc w:val="center"/>
              <w:rPr>
                <w:rFonts w:ascii="Times New Roman" w:hAnsi="Times New Roman" w:eastAsia="方正黑体_GBK"/>
                <w:bCs/>
                <w:kern w:val="0"/>
                <w:sz w:val="24"/>
              </w:rPr>
            </w:pPr>
            <w:r>
              <w:rPr>
                <w:rFonts w:ascii="Times New Roman" w:hAnsi="Times New Roman" w:eastAsia="方正黑体_GBK"/>
                <w:bCs/>
                <w:kern w:val="0"/>
                <w:sz w:val="24"/>
              </w:rPr>
              <w:t>“十三五”</w:t>
            </w:r>
          </w:p>
          <w:p w14:paraId="3A4C0952">
            <w:pPr>
              <w:widowControl/>
              <w:spacing w:line="280" w:lineRule="exact"/>
              <w:jc w:val="center"/>
              <w:rPr>
                <w:rFonts w:ascii="Times New Roman" w:hAnsi="Times New Roman" w:eastAsia="方正黑体_GBK"/>
                <w:bCs/>
                <w:kern w:val="0"/>
                <w:sz w:val="24"/>
              </w:rPr>
            </w:pPr>
            <w:r>
              <w:rPr>
                <w:rFonts w:ascii="Times New Roman" w:hAnsi="Times New Roman" w:eastAsia="方正黑体_GBK"/>
                <w:bCs/>
                <w:kern w:val="0"/>
                <w:sz w:val="24"/>
              </w:rPr>
              <w:t>计划目标</w:t>
            </w:r>
          </w:p>
        </w:tc>
        <w:tc>
          <w:tcPr>
            <w:tcW w:w="1505" w:type="dxa"/>
            <w:shd w:val="clear" w:color="auto" w:fill="auto"/>
            <w:vAlign w:val="center"/>
          </w:tcPr>
          <w:p w14:paraId="7BA0116D">
            <w:pPr>
              <w:widowControl/>
              <w:spacing w:line="280" w:lineRule="exact"/>
              <w:jc w:val="center"/>
              <w:rPr>
                <w:rFonts w:ascii="Times New Roman" w:hAnsi="Times New Roman" w:eastAsia="方正黑体_GBK"/>
                <w:bCs/>
                <w:kern w:val="0"/>
                <w:sz w:val="24"/>
              </w:rPr>
            </w:pPr>
            <w:r>
              <w:rPr>
                <w:rFonts w:ascii="Times New Roman" w:hAnsi="Times New Roman" w:eastAsia="方正黑体_GBK"/>
                <w:bCs/>
                <w:kern w:val="0"/>
                <w:sz w:val="24"/>
              </w:rPr>
              <w:t>2020年</w:t>
            </w:r>
          </w:p>
        </w:tc>
        <w:tc>
          <w:tcPr>
            <w:tcW w:w="1012" w:type="dxa"/>
            <w:shd w:val="clear" w:color="auto" w:fill="auto"/>
            <w:vAlign w:val="center"/>
          </w:tcPr>
          <w:p w14:paraId="5454790B">
            <w:pPr>
              <w:widowControl/>
              <w:spacing w:line="280" w:lineRule="exact"/>
              <w:jc w:val="center"/>
              <w:rPr>
                <w:rFonts w:ascii="Times New Roman" w:hAnsi="Times New Roman" w:eastAsia="方正黑体_GBK"/>
                <w:bCs/>
                <w:kern w:val="0"/>
                <w:sz w:val="24"/>
              </w:rPr>
            </w:pPr>
            <w:r>
              <w:rPr>
                <w:rFonts w:ascii="Times New Roman" w:hAnsi="Times New Roman" w:eastAsia="方正黑体_GBK"/>
                <w:bCs/>
                <w:kern w:val="0"/>
                <w:sz w:val="24"/>
              </w:rPr>
              <w:t>年均增长（%）</w:t>
            </w:r>
          </w:p>
        </w:tc>
        <w:tc>
          <w:tcPr>
            <w:tcW w:w="907" w:type="dxa"/>
            <w:shd w:val="clear" w:color="auto" w:fill="auto"/>
            <w:vAlign w:val="center"/>
          </w:tcPr>
          <w:p w14:paraId="7158E0FA">
            <w:pPr>
              <w:widowControl/>
              <w:spacing w:line="280" w:lineRule="exact"/>
              <w:jc w:val="center"/>
              <w:rPr>
                <w:rFonts w:ascii="Times New Roman" w:hAnsi="Times New Roman" w:eastAsia="方正黑体_GBK"/>
                <w:bCs/>
                <w:kern w:val="0"/>
                <w:sz w:val="24"/>
              </w:rPr>
            </w:pPr>
            <w:r>
              <w:rPr>
                <w:rFonts w:ascii="Times New Roman" w:hAnsi="Times New Roman" w:eastAsia="方正黑体_GBK"/>
                <w:bCs/>
                <w:kern w:val="0"/>
                <w:sz w:val="24"/>
              </w:rPr>
              <w:t>指标</w:t>
            </w:r>
          </w:p>
          <w:p w14:paraId="2DCE94CD">
            <w:pPr>
              <w:widowControl/>
              <w:spacing w:line="280" w:lineRule="exact"/>
              <w:jc w:val="center"/>
              <w:rPr>
                <w:rFonts w:ascii="Times New Roman" w:hAnsi="Times New Roman" w:eastAsia="方正黑体_GBK"/>
                <w:bCs/>
                <w:kern w:val="0"/>
                <w:sz w:val="24"/>
              </w:rPr>
            </w:pPr>
            <w:r>
              <w:rPr>
                <w:rFonts w:ascii="Times New Roman" w:hAnsi="Times New Roman" w:eastAsia="方正黑体_GBK"/>
                <w:bCs/>
                <w:kern w:val="0"/>
                <w:sz w:val="24"/>
              </w:rPr>
              <w:t>属性</w:t>
            </w:r>
          </w:p>
        </w:tc>
      </w:tr>
      <w:tr w14:paraId="144EB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7" w:hRule="atLeast"/>
          <w:jc w:val="center"/>
        </w:trPr>
        <w:tc>
          <w:tcPr>
            <w:tcW w:w="8803" w:type="dxa"/>
            <w:gridSpan w:val="5"/>
            <w:shd w:val="clear" w:color="auto" w:fill="auto"/>
            <w:vAlign w:val="center"/>
          </w:tcPr>
          <w:p w14:paraId="33CBA4E1">
            <w:pPr>
              <w:widowControl/>
              <w:spacing w:line="280" w:lineRule="exact"/>
              <w:rPr>
                <w:rFonts w:ascii="Times New Roman" w:hAnsi="Times New Roman" w:eastAsia="方正楷体_GBK"/>
                <w:bCs/>
                <w:kern w:val="0"/>
                <w:sz w:val="24"/>
              </w:rPr>
            </w:pPr>
            <w:r>
              <w:rPr>
                <w:rFonts w:ascii="Times New Roman" w:hAnsi="Times New Roman" w:eastAsia="方正楷体_GBK"/>
                <w:bCs/>
                <w:kern w:val="0"/>
                <w:sz w:val="24"/>
              </w:rPr>
              <w:t>一、经济总量</w:t>
            </w:r>
          </w:p>
        </w:tc>
      </w:tr>
      <w:tr w14:paraId="07F1E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9" w:hRule="atLeast"/>
          <w:jc w:val="center"/>
        </w:trPr>
        <w:tc>
          <w:tcPr>
            <w:tcW w:w="3874" w:type="dxa"/>
            <w:shd w:val="clear" w:color="auto" w:fill="auto"/>
            <w:vAlign w:val="center"/>
          </w:tcPr>
          <w:p w14:paraId="4A2A0BF3">
            <w:pPr>
              <w:widowControl/>
              <w:spacing w:line="280" w:lineRule="exact"/>
              <w:rPr>
                <w:rFonts w:ascii="Times New Roman" w:hAnsi="Times New Roman" w:eastAsia="方正仿宋_GBK"/>
                <w:kern w:val="0"/>
                <w:sz w:val="24"/>
              </w:rPr>
            </w:pPr>
            <w:r>
              <w:rPr>
                <w:rFonts w:ascii="Times New Roman" w:hAnsi="Times New Roman" w:eastAsia="方正仿宋_GBK"/>
                <w:kern w:val="0"/>
                <w:sz w:val="24"/>
              </w:rPr>
              <w:t>地区生产总值（当年价，亿元）</w:t>
            </w:r>
          </w:p>
        </w:tc>
        <w:tc>
          <w:tcPr>
            <w:tcW w:w="1505" w:type="dxa"/>
            <w:shd w:val="clear" w:color="auto" w:fill="auto"/>
            <w:vAlign w:val="center"/>
          </w:tcPr>
          <w:p w14:paraId="31146A20">
            <w:pPr>
              <w:widowControl/>
              <w:spacing w:line="280" w:lineRule="exact"/>
              <w:jc w:val="center"/>
              <w:rPr>
                <w:rFonts w:ascii="Times New Roman" w:hAnsi="Times New Roman" w:eastAsia="方正仿宋_GBK"/>
                <w:kern w:val="0"/>
                <w:sz w:val="24"/>
              </w:rPr>
            </w:pPr>
            <w:r>
              <w:rPr>
                <w:rFonts w:ascii="Times New Roman" w:hAnsi="Times New Roman" w:eastAsia="方正仿宋_GBK"/>
                <w:kern w:val="0"/>
                <w:sz w:val="24"/>
              </w:rPr>
              <w:t>350</w:t>
            </w:r>
          </w:p>
        </w:tc>
        <w:tc>
          <w:tcPr>
            <w:tcW w:w="1505" w:type="dxa"/>
            <w:shd w:val="clear" w:color="auto" w:fill="auto"/>
            <w:vAlign w:val="center"/>
          </w:tcPr>
          <w:p w14:paraId="3EBA30B3">
            <w:pPr>
              <w:widowControl/>
              <w:spacing w:line="280" w:lineRule="exact"/>
              <w:jc w:val="center"/>
              <w:rPr>
                <w:rFonts w:hint="default" w:ascii="Times New Roman" w:hAnsi="Times New Roman" w:eastAsia="方正仿宋_GBK"/>
                <w:kern w:val="0"/>
                <w:sz w:val="24"/>
                <w:lang w:val="en-US" w:eastAsia="zh-CN"/>
              </w:rPr>
            </w:pPr>
            <w:r>
              <w:rPr>
                <w:rFonts w:hint="eastAsia" w:ascii="Times New Roman" w:hAnsi="Times New Roman" w:eastAsia="方正仿宋_GBK"/>
                <w:kern w:val="0"/>
                <w:sz w:val="24"/>
                <w:lang w:val="en-US" w:eastAsia="zh-CN"/>
              </w:rPr>
              <w:t>392.8</w:t>
            </w:r>
          </w:p>
        </w:tc>
        <w:tc>
          <w:tcPr>
            <w:tcW w:w="1012" w:type="dxa"/>
            <w:shd w:val="clear" w:color="auto" w:fill="auto"/>
            <w:vAlign w:val="center"/>
          </w:tcPr>
          <w:p w14:paraId="7E65E578">
            <w:pPr>
              <w:widowControl/>
              <w:spacing w:line="280" w:lineRule="exact"/>
              <w:jc w:val="center"/>
              <w:rPr>
                <w:rFonts w:hint="default" w:ascii="Times New Roman" w:hAnsi="Times New Roman" w:eastAsia="方正仿宋_GBK"/>
                <w:kern w:val="0"/>
                <w:sz w:val="24"/>
                <w:lang w:val="en-US" w:eastAsia="zh-CN"/>
              </w:rPr>
            </w:pPr>
            <w:r>
              <w:rPr>
                <w:rFonts w:hint="eastAsia" w:ascii="Times New Roman" w:hAnsi="Times New Roman" w:eastAsia="方正仿宋_GBK"/>
                <w:kern w:val="0"/>
                <w:sz w:val="24"/>
                <w:lang w:val="en-US" w:eastAsia="zh-CN"/>
              </w:rPr>
              <w:t>9.0</w:t>
            </w:r>
          </w:p>
        </w:tc>
        <w:tc>
          <w:tcPr>
            <w:tcW w:w="907" w:type="dxa"/>
            <w:shd w:val="clear" w:color="auto" w:fill="auto"/>
            <w:noWrap/>
            <w:vAlign w:val="center"/>
          </w:tcPr>
          <w:p w14:paraId="61115330">
            <w:pPr>
              <w:widowControl/>
              <w:spacing w:line="280" w:lineRule="exact"/>
              <w:jc w:val="center"/>
              <w:rPr>
                <w:rFonts w:ascii="Times New Roman" w:hAnsi="Times New Roman" w:eastAsia="方正仿宋_GBK"/>
                <w:kern w:val="0"/>
                <w:sz w:val="24"/>
              </w:rPr>
            </w:pPr>
            <w:r>
              <w:rPr>
                <w:rFonts w:ascii="Times New Roman" w:hAnsi="Times New Roman" w:eastAsia="方正仿宋_GBK"/>
                <w:kern w:val="0"/>
                <w:sz w:val="24"/>
              </w:rPr>
              <w:t>预期性</w:t>
            </w:r>
          </w:p>
        </w:tc>
      </w:tr>
      <w:tr w14:paraId="26D84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9" w:hRule="atLeast"/>
          <w:jc w:val="center"/>
        </w:trPr>
        <w:tc>
          <w:tcPr>
            <w:tcW w:w="3874" w:type="dxa"/>
            <w:shd w:val="clear" w:color="auto" w:fill="auto"/>
            <w:vAlign w:val="center"/>
          </w:tcPr>
          <w:p w14:paraId="1B038F7A">
            <w:pPr>
              <w:widowControl/>
              <w:spacing w:line="280" w:lineRule="exact"/>
              <w:rPr>
                <w:rFonts w:ascii="Times New Roman" w:hAnsi="Times New Roman" w:eastAsia="方正仿宋_GBK"/>
                <w:kern w:val="0"/>
                <w:sz w:val="24"/>
              </w:rPr>
            </w:pPr>
            <w:r>
              <w:rPr>
                <w:rFonts w:ascii="Times New Roman" w:hAnsi="Times New Roman" w:eastAsia="方正仿宋_GBK"/>
                <w:kern w:val="0"/>
                <w:sz w:val="24"/>
              </w:rPr>
              <w:t>财政收入（亿元）</w:t>
            </w:r>
          </w:p>
        </w:tc>
        <w:tc>
          <w:tcPr>
            <w:tcW w:w="1505" w:type="dxa"/>
            <w:shd w:val="clear" w:color="auto" w:fill="auto"/>
            <w:vAlign w:val="center"/>
          </w:tcPr>
          <w:p w14:paraId="4DE1A7F9">
            <w:pPr>
              <w:widowControl/>
              <w:spacing w:line="280" w:lineRule="exact"/>
              <w:jc w:val="center"/>
              <w:rPr>
                <w:rFonts w:ascii="Times New Roman" w:hAnsi="Times New Roman" w:eastAsia="方正仿宋_GBK"/>
                <w:kern w:val="0"/>
                <w:sz w:val="24"/>
              </w:rPr>
            </w:pPr>
            <w:r>
              <w:rPr>
                <w:rFonts w:ascii="Times New Roman" w:hAnsi="Times New Roman" w:eastAsia="方正仿宋_GBK"/>
                <w:kern w:val="0"/>
                <w:sz w:val="24"/>
              </w:rPr>
              <w:t>40</w:t>
            </w:r>
          </w:p>
        </w:tc>
        <w:tc>
          <w:tcPr>
            <w:tcW w:w="1505" w:type="dxa"/>
            <w:shd w:val="clear" w:color="auto" w:fill="auto"/>
            <w:vAlign w:val="center"/>
          </w:tcPr>
          <w:p w14:paraId="29DC381D">
            <w:pPr>
              <w:widowControl/>
              <w:spacing w:line="280" w:lineRule="exact"/>
              <w:jc w:val="center"/>
              <w:rPr>
                <w:rFonts w:hint="default" w:ascii="Times New Roman" w:hAnsi="Times New Roman" w:eastAsia="方正仿宋_GBK"/>
                <w:kern w:val="0"/>
                <w:sz w:val="24"/>
                <w:lang w:val="en-US" w:eastAsia="zh-CN"/>
              </w:rPr>
            </w:pPr>
            <w:r>
              <w:rPr>
                <w:rFonts w:hint="eastAsia" w:ascii="Times New Roman" w:hAnsi="Times New Roman" w:eastAsia="方正仿宋_GBK"/>
                <w:kern w:val="0"/>
                <w:sz w:val="24"/>
              </w:rPr>
              <w:t>31</w:t>
            </w:r>
            <w:r>
              <w:rPr>
                <w:rFonts w:hint="eastAsia" w:ascii="Times New Roman" w:hAnsi="Times New Roman" w:eastAsia="方正仿宋_GBK"/>
                <w:kern w:val="0"/>
                <w:sz w:val="24"/>
                <w:lang w:val="en-US" w:eastAsia="zh-CN"/>
              </w:rPr>
              <w:t>.06</w:t>
            </w:r>
          </w:p>
        </w:tc>
        <w:tc>
          <w:tcPr>
            <w:tcW w:w="1012" w:type="dxa"/>
            <w:shd w:val="clear" w:color="auto" w:fill="auto"/>
            <w:vAlign w:val="center"/>
          </w:tcPr>
          <w:p w14:paraId="0F654ACE">
            <w:pPr>
              <w:widowControl/>
              <w:spacing w:line="280" w:lineRule="exact"/>
              <w:jc w:val="center"/>
              <w:rPr>
                <w:rFonts w:ascii="Times New Roman" w:hAnsi="Times New Roman" w:eastAsia="方正仿宋_GBK"/>
                <w:kern w:val="0"/>
                <w:sz w:val="24"/>
              </w:rPr>
            </w:pPr>
            <w:r>
              <w:rPr>
                <w:rFonts w:hint="eastAsia" w:ascii="Times New Roman" w:hAnsi="Times New Roman" w:eastAsia="方正仿宋_GBK"/>
                <w:kern w:val="0"/>
                <w:sz w:val="24"/>
              </w:rPr>
              <w:t>7.4</w:t>
            </w:r>
          </w:p>
        </w:tc>
        <w:tc>
          <w:tcPr>
            <w:tcW w:w="907" w:type="dxa"/>
            <w:shd w:val="clear" w:color="auto" w:fill="auto"/>
            <w:noWrap/>
            <w:vAlign w:val="center"/>
          </w:tcPr>
          <w:p w14:paraId="107B76F7">
            <w:pPr>
              <w:widowControl/>
              <w:spacing w:line="280" w:lineRule="exact"/>
              <w:jc w:val="center"/>
              <w:rPr>
                <w:rFonts w:ascii="Times New Roman" w:hAnsi="Times New Roman" w:eastAsia="方正仿宋_GBK"/>
                <w:kern w:val="0"/>
                <w:sz w:val="24"/>
              </w:rPr>
            </w:pPr>
            <w:r>
              <w:rPr>
                <w:rFonts w:ascii="Times New Roman" w:hAnsi="Times New Roman" w:eastAsia="方正仿宋_GBK"/>
                <w:kern w:val="0"/>
                <w:sz w:val="24"/>
              </w:rPr>
              <w:t>预期性</w:t>
            </w:r>
          </w:p>
        </w:tc>
      </w:tr>
      <w:tr w14:paraId="7516A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9" w:hRule="atLeast"/>
          <w:jc w:val="center"/>
        </w:trPr>
        <w:tc>
          <w:tcPr>
            <w:tcW w:w="3874" w:type="dxa"/>
            <w:shd w:val="clear" w:color="auto" w:fill="auto"/>
            <w:vAlign w:val="center"/>
          </w:tcPr>
          <w:p w14:paraId="5AAD30FC">
            <w:pPr>
              <w:widowControl/>
              <w:spacing w:line="280" w:lineRule="exact"/>
              <w:rPr>
                <w:rFonts w:ascii="Times New Roman" w:hAnsi="Times New Roman" w:eastAsia="方正仿宋_GBK"/>
                <w:kern w:val="0"/>
                <w:sz w:val="24"/>
              </w:rPr>
            </w:pPr>
            <w:r>
              <w:rPr>
                <w:rFonts w:ascii="Times New Roman" w:hAnsi="Times New Roman" w:eastAsia="方正仿宋_GBK"/>
                <w:kern w:val="0"/>
                <w:sz w:val="24"/>
              </w:rPr>
              <w:t>全社会固定资产投资（亿元）</w:t>
            </w:r>
          </w:p>
        </w:tc>
        <w:tc>
          <w:tcPr>
            <w:tcW w:w="1505" w:type="dxa"/>
            <w:shd w:val="clear" w:color="auto" w:fill="auto"/>
            <w:vAlign w:val="center"/>
          </w:tcPr>
          <w:p w14:paraId="43FC5AEC">
            <w:pPr>
              <w:widowControl/>
              <w:spacing w:line="280" w:lineRule="exact"/>
              <w:jc w:val="center"/>
              <w:rPr>
                <w:rFonts w:ascii="Times New Roman" w:hAnsi="Times New Roman" w:eastAsia="方正仿宋_GBK"/>
                <w:kern w:val="0"/>
                <w:sz w:val="24"/>
              </w:rPr>
            </w:pPr>
            <w:r>
              <w:rPr>
                <w:rFonts w:ascii="Times New Roman" w:hAnsi="Times New Roman" w:eastAsia="方正仿宋_GBK"/>
                <w:kern w:val="0"/>
                <w:sz w:val="24"/>
              </w:rPr>
              <w:t>510</w:t>
            </w:r>
          </w:p>
        </w:tc>
        <w:tc>
          <w:tcPr>
            <w:tcW w:w="1505" w:type="dxa"/>
            <w:shd w:val="clear" w:color="auto" w:fill="auto"/>
            <w:vAlign w:val="center"/>
          </w:tcPr>
          <w:p w14:paraId="66ADB1FB">
            <w:pPr>
              <w:widowControl/>
              <w:spacing w:line="280" w:lineRule="exact"/>
              <w:jc w:val="center"/>
              <w:rPr>
                <w:rFonts w:hint="eastAsia" w:ascii="Times New Roman" w:hAnsi="Times New Roman" w:eastAsia="方正仿宋_GBK"/>
                <w:kern w:val="0"/>
                <w:sz w:val="24"/>
              </w:rPr>
            </w:pPr>
            <w:r>
              <w:rPr>
                <w:rFonts w:hint="eastAsia" w:ascii="Times New Roman" w:hAnsi="Times New Roman" w:eastAsia="方正仿宋_GBK"/>
                <w:kern w:val="0"/>
                <w:sz w:val="24"/>
              </w:rPr>
              <w:t>—</w:t>
            </w:r>
          </w:p>
        </w:tc>
        <w:tc>
          <w:tcPr>
            <w:tcW w:w="1012" w:type="dxa"/>
            <w:shd w:val="clear" w:color="auto" w:fill="auto"/>
            <w:vAlign w:val="center"/>
          </w:tcPr>
          <w:p w14:paraId="68E0D066">
            <w:pPr>
              <w:widowControl/>
              <w:spacing w:line="280" w:lineRule="exact"/>
              <w:jc w:val="center"/>
              <w:rPr>
                <w:rFonts w:ascii="Times New Roman" w:hAnsi="Times New Roman" w:eastAsia="方正仿宋_GBK"/>
                <w:kern w:val="0"/>
                <w:sz w:val="24"/>
              </w:rPr>
            </w:pPr>
            <w:r>
              <w:rPr>
                <w:rFonts w:ascii="Times New Roman" w:hAnsi="Times New Roman" w:eastAsia="方正仿宋_GBK"/>
                <w:kern w:val="0"/>
                <w:sz w:val="24"/>
              </w:rPr>
              <w:t>15</w:t>
            </w:r>
          </w:p>
        </w:tc>
        <w:tc>
          <w:tcPr>
            <w:tcW w:w="907" w:type="dxa"/>
            <w:shd w:val="clear" w:color="auto" w:fill="auto"/>
            <w:noWrap/>
            <w:vAlign w:val="center"/>
          </w:tcPr>
          <w:p w14:paraId="4F0B2326">
            <w:pPr>
              <w:widowControl/>
              <w:spacing w:line="280" w:lineRule="exact"/>
              <w:jc w:val="center"/>
              <w:rPr>
                <w:rFonts w:ascii="Times New Roman" w:hAnsi="Times New Roman" w:eastAsia="方正仿宋_GBK"/>
                <w:kern w:val="0"/>
                <w:sz w:val="24"/>
              </w:rPr>
            </w:pPr>
            <w:r>
              <w:rPr>
                <w:rFonts w:ascii="Times New Roman" w:hAnsi="Times New Roman" w:eastAsia="方正仿宋_GBK"/>
                <w:kern w:val="0"/>
                <w:sz w:val="24"/>
              </w:rPr>
              <w:t>预期性</w:t>
            </w:r>
          </w:p>
        </w:tc>
      </w:tr>
      <w:tr w14:paraId="4D1A1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9" w:hRule="atLeast"/>
          <w:jc w:val="center"/>
        </w:trPr>
        <w:tc>
          <w:tcPr>
            <w:tcW w:w="3874" w:type="dxa"/>
            <w:shd w:val="clear" w:color="auto" w:fill="auto"/>
            <w:vAlign w:val="center"/>
          </w:tcPr>
          <w:p w14:paraId="7EF5188C">
            <w:pPr>
              <w:widowControl/>
              <w:spacing w:line="280" w:lineRule="exact"/>
              <w:rPr>
                <w:rFonts w:ascii="Times New Roman" w:hAnsi="Times New Roman" w:eastAsia="方正仿宋_GBK"/>
                <w:kern w:val="0"/>
                <w:sz w:val="24"/>
              </w:rPr>
            </w:pPr>
            <w:r>
              <w:rPr>
                <w:rFonts w:ascii="Times New Roman" w:hAnsi="Times New Roman" w:eastAsia="方正仿宋_GBK"/>
                <w:kern w:val="0"/>
                <w:sz w:val="24"/>
              </w:rPr>
              <w:t>社会消费品零售总额（亿元）</w:t>
            </w:r>
          </w:p>
        </w:tc>
        <w:tc>
          <w:tcPr>
            <w:tcW w:w="1505" w:type="dxa"/>
            <w:shd w:val="clear" w:color="auto" w:fill="auto"/>
            <w:vAlign w:val="center"/>
          </w:tcPr>
          <w:p w14:paraId="5BC66678">
            <w:pPr>
              <w:widowControl/>
              <w:spacing w:line="280" w:lineRule="exact"/>
              <w:jc w:val="center"/>
              <w:rPr>
                <w:rFonts w:ascii="Times New Roman" w:hAnsi="Times New Roman" w:eastAsia="方正仿宋_GBK"/>
                <w:kern w:val="0"/>
                <w:sz w:val="24"/>
              </w:rPr>
            </w:pPr>
            <w:r>
              <w:rPr>
                <w:rFonts w:ascii="Times New Roman" w:hAnsi="Times New Roman" w:eastAsia="方正仿宋_GBK"/>
                <w:kern w:val="0"/>
                <w:sz w:val="24"/>
              </w:rPr>
              <w:t>129</w:t>
            </w:r>
          </w:p>
        </w:tc>
        <w:tc>
          <w:tcPr>
            <w:tcW w:w="1505" w:type="dxa"/>
            <w:shd w:val="clear" w:color="auto" w:fill="auto"/>
            <w:vAlign w:val="center"/>
          </w:tcPr>
          <w:p w14:paraId="0FED3F95">
            <w:pPr>
              <w:widowControl/>
              <w:spacing w:line="280" w:lineRule="exact"/>
              <w:jc w:val="center"/>
              <w:rPr>
                <w:rFonts w:hint="default" w:ascii="Times New Roman" w:hAnsi="Times New Roman" w:eastAsia="方正仿宋_GBK"/>
                <w:kern w:val="0"/>
                <w:sz w:val="24"/>
                <w:lang w:val="en-US" w:eastAsia="zh-CN"/>
              </w:rPr>
            </w:pPr>
            <w:r>
              <w:rPr>
                <w:rFonts w:hint="eastAsia" w:ascii="Times New Roman" w:hAnsi="Times New Roman" w:eastAsia="方正仿宋_GBK"/>
                <w:kern w:val="0"/>
                <w:sz w:val="24"/>
                <w:lang w:val="en-US" w:eastAsia="zh-CN"/>
              </w:rPr>
              <w:t>132.3</w:t>
            </w:r>
          </w:p>
        </w:tc>
        <w:tc>
          <w:tcPr>
            <w:tcW w:w="1012" w:type="dxa"/>
            <w:shd w:val="clear" w:color="auto" w:fill="auto"/>
            <w:vAlign w:val="center"/>
          </w:tcPr>
          <w:p w14:paraId="23BE5504">
            <w:pPr>
              <w:widowControl/>
              <w:spacing w:line="280" w:lineRule="exact"/>
              <w:jc w:val="center"/>
              <w:rPr>
                <w:rFonts w:hint="default" w:ascii="Times New Roman" w:hAnsi="Times New Roman" w:eastAsia="方正仿宋_GBK"/>
                <w:kern w:val="0"/>
                <w:sz w:val="24"/>
                <w:lang w:val="en-US" w:eastAsia="zh-CN"/>
              </w:rPr>
            </w:pPr>
            <w:r>
              <w:rPr>
                <w:rFonts w:hint="eastAsia" w:ascii="Times New Roman" w:hAnsi="Times New Roman" w:eastAsia="方正仿宋_GBK"/>
                <w:kern w:val="0"/>
                <w:sz w:val="24"/>
                <w:lang w:val="en-US" w:eastAsia="zh-CN"/>
              </w:rPr>
              <w:t>11.5</w:t>
            </w:r>
          </w:p>
        </w:tc>
        <w:tc>
          <w:tcPr>
            <w:tcW w:w="907" w:type="dxa"/>
            <w:shd w:val="clear" w:color="auto" w:fill="auto"/>
            <w:noWrap/>
            <w:vAlign w:val="center"/>
          </w:tcPr>
          <w:p w14:paraId="7BDD3713">
            <w:pPr>
              <w:widowControl/>
              <w:spacing w:line="280" w:lineRule="exact"/>
              <w:jc w:val="center"/>
              <w:rPr>
                <w:rFonts w:ascii="Times New Roman" w:hAnsi="Times New Roman" w:eastAsia="方正仿宋_GBK"/>
                <w:kern w:val="0"/>
                <w:sz w:val="24"/>
              </w:rPr>
            </w:pPr>
            <w:r>
              <w:rPr>
                <w:rFonts w:ascii="Times New Roman" w:hAnsi="Times New Roman" w:eastAsia="方正仿宋_GBK"/>
                <w:kern w:val="0"/>
                <w:sz w:val="24"/>
              </w:rPr>
              <w:t>预期性</w:t>
            </w:r>
          </w:p>
        </w:tc>
      </w:tr>
      <w:tr w14:paraId="6DB6D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9" w:hRule="atLeast"/>
          <w:jc w:val="center"/>
        </w:trPr>
        <w:tc>
          <w:tcPr>
            <w:tcW w:w="8803" w:type="dxa"/>
            <w:gridSpan w:val="5"/>
            <w:shd w:val="clear" w:color="auto" w:fill="auto"/>
            <w:vAlign w:val="center"/>
          </w:tcPr>
          <w:p w14:paraId="6106804C">
            <w:pPr>
              <w:widowControl/>
              <w:spacing w:line="280" w:lineRule="exact"/>
              <w:rPr>
                <w:rFonts w:ascii="Times New Roman" w:hAnsi="Times New Roman" w:eastAsia="方正楷体_GBK"/>
                <w:bCs/>
                <w:kern w:val="0"/>
                <w:sz w:val="24"/>
              </w:rPr>
            </w:pPr>
            <w:r>
              <w:rPr>
                <w:rFonts w:ascii="Times New Roman" w:hAnsi="Times New Roman" w:eastAsia="方正楷体_GBK"/>
                <w:bCs/>
                <w:kern w:val="0"/>
                <w:sz w:val="24"/>
              </w:rPr>
              <w:t>二、结构调整</w:t>
            </w:r>
          </w:p>
        </w:tc>
      </w:tr>
      <w:tr w14:paraId="314A3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9" w:hRule="atLeast"/>
          <w:jc w:val="center"/>
        </w:trPr>
        <w:tc>
          <w:tcPr>
            <w:tcW w:w="3874" w:type="dxa"/>
            <w:shd w:val="clear" w:color="auto" w:fill="auto"/>
            <w:vAlign w:val="center"/>
          </w:tcPr>
          <w:p w14:paraId="428028F1">
            <w:pPr>
              <w:widowControl/>
              <w:spacing w:line="280" w:lineRule="exact"/>
              <w:rPr>
                <w:rFonts w:ascii="Times New Roman" w:hAnsi="Times New Roman" w:eastAsia="方正仿宋_GBK"/>
                <w:kern w:val="0"/>
                <w:sz w:val="24"/>
              </w:rPr>
            </w:pPr>
            <w:r>
              <w:rPr>
                <w:rFonts w:ascii="Times New Roman" w:hAnsi="Times New Roman" w:eastAsia="方正仿宋_GBK"/>
                <w:kern w:val="0"/>
                <w:sz w:val="24"/>
              </w:rPr>
              <w:t>服务业比重（%）</w:t>
            </w:r>
          </w:p>
        </w:tc>
        <w:tc>
          <w:tcPr>
            <w:tcW w:w="1505" w:type="dxa"/>
            <w:shd w:val="clear" w:color="auto" w:fill="auto"/>
            <w:vAlign w:val="center"/>
          </w:tcPr>
          <w:p w14:paraId="06DFB8FA">
            <w:pPr>
              <w:widowControl/>
              <w:spacing w:line="280" w:lineRule="exact"/>
              <w:jc w:val="center"/>
              <w:rPr>
                <w:rFonts w:ascii="Times New Roman" w:hAnsi="Times New Roman" w:eastAsia="方正仿宋_GBK"/>
                <w:kern w:val="0"/>
                <w:sz w:val="24"/>
              </w:rPr>
            </w:pPr>
            <w:r>
              <w:rPr>
                <w:rFonts w:ascii="Times New Roman" w:hAnsi="Times New Roman" w:eastAsia="方正仿宋_GBK"/>
                <w:kern w:val="0"/>
                <w:sz w:val="24"/>
              </w:rPr>
              <w:t>35</w:t>
            </w:r>
          </w:p>
        </w:tc>
        <w:tc>
          <w:tcPr>
            <w:tcW w:w="1505" w:type="dxa"/>
            <w:shd w:val="clear" w:color="auto" w:fill="auto"/>
            <w:vAlign w:val="center"/>
          </w:tcPr>
          <w:p w14:paraId="5E256920">
            <w:pPr>
              <w:widowControl/>
              <w:spacing w:line="280" w:lineRule="exact"/>
              <w:jc w:val="center"/>
              <w:rPr>
                <w:rFonts w:hint="default" w:ascii="Times New Roman" w:hAnsi="Times New Roman" w:eastAsia="方正仿宋_GBK"/>
                <w:kern w:val="0"/>
                <w:sz w:val="24"/>
                <w:lang w:val="en-US" w:eastAsia="zh-CN"/>
              </w:rPr>
            </w:pPr>
            <w:r>
              <w:rPr>
                <w:rFonts w:hint="eastAsia" w:ascii="Times New Roman" w:hAnsi="Times New Roman" w:eastAsia="方正仿宋_GBK"/>
                <w:kern w:val="0"/>
                <w:sz w:val="24"/>
                <w:lang w:val="en-US" w:eastAsia="zh-CN"/>
              </w:rPr>
              <w:t>41</w:t>
            </w:r>
          </w:p>
        </w:tc>
        <w:tc>
          <w:tcPr>
            <w:tcW w:w="1012" w:type="dxa"/>
            <w:shd w:val="clear" w:color="auto" w:fill="auto"/>
            <w:vAlign w:val="center"/>
          </w:tcPr>
          <w:p w14:paraId="5DBD33E2">
            <w:pPr>
              <w:widowControl/>
              <w:spacing w:line="280" w:lineRule="exact"/>
              <w:jc w:val="center"/>
              <w:rPr>
                <w:rFonts w:ascii="Times New Roman" w:hAnsi="Times New Roman" w:eastAsia="方正仿宋_GBK"/>
                <w:kern w:val="0"/>
                <w:sz w:val="24"/>
              </w:rPr>
            </w:pPr>
            <w:r>
              <w:rPr>
                <w:rFonts w:ascii="Times New Roman" w:hAnsi="Times New Roman" w:eastAsia="方正仿宋_GBK"/>
                <w:kern w:val="0"/>
                <w:sz w:val="24"/>
              </w:rPr>
              <w:t>—</w:t>
            </w:r>
          </w:p>
        </w:tc>
        <w:tc>
          <w:tcPr>
            <w:tcW w:w="907" w:type="dxa"/>
            <w:shd w:val="clear" w:color="auto" w:fill="auto"/>
            <w:noWrap/>
            <w:vAlign w:val="center"/>
          </w:tcPr>
          <w:p w14:paraId="1D90DBCB">
            <w:pPr>
              <w:widowControl/>
              <w:spacing w:line="280" w:lineRule="exact"/>
              <w:jc w:val="center"/>
              <w:rPr>
                <w:rFonts w:ascii="Times New Roman" w:hAnsi="Times New Roman" w:eastAsia="方正仿宋_GBK"/>
                <w:kern w:val="0"/>
                <w:sz w:val="24"/>
              </w:rPr>
            </w:pPr>
            <w:r>
              <w:rPr>
                <w:rFonts w:ascii="Times New Roman" w:hAnsi="Times New Roman" w:eastAsia="方正仿宋_GBK"/>
                <w:kern w:val="0"/>
                <w:sz w:val="24"/>
              </w:rPr>
              <w:t>预期性</w:t>
            </w:r>
          </w:p>
        </w:tc>
      </w:tr>
      <w:tr w14:paraId="10B2B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9" w:hRule="atLeast"/>
          <w:jc w:val="center"/>
        </w:trPr>
        <w:tc>
          <w:tcPr>
            <w:tcW w:w="3874" w:type="dxa"/>
            <w:shd w:val="clear" w:color="auto" w:fill="auto"/>
            <w:vAlign w:val="center"/>
          </w:tcPr>
          <w:p w14:paraId="3DA0BFB9">
            <w:pPr>
              <w:widowControl/>
              <w:spacing w:line="280" w:lineRule="exact"/>
              <w:rPr>
                <w:rFonts w:ascii="Times New Roman" w:hAnsi="Times New Roman" w:eastAsia="方正仿宋_GBK"/>
                <w:kern w:val="0"/>
                <w:sz w:val="24"/>
              </w:rPr>
            </w:pPr>
            <w:r>
              <w:rPr>
                <w:rFonts w:ascii="Times New Roman" w:hAnsi="Times New Roman" w:eastAsia="方正仿宋_GBK"/>
                <w:kern w:val="0"/>
                <w:sz w:val="24"/>
              </w:rPr>
              <w:t>战略性新兴产业比重（%）</w:t>
            </w:r>
          </w:p>
        </w:tc>
        <w:tc>
          <w:tcPr>
            <w:tcW w:w="1505" w:type="dxa"/>
            <w:shd w:val="clear" w:color="auto" w:fill="auto"/>
            <w:vAlign w:val="center"/>
          </w:tcPr>
          <w:p w14:paraId="22FFB878">
            <w:pPr>
              <w:widowControl/>
              <w:spacing w:line="280" w:lineRule="exact"/>
              <w:jc w:val="center"/>
              <w:rPr>
                <w:rFonts w:ascii="Times New Roman" w:hAnsi="Times New Roman" w:eastAsia="方正仿宋_GBK"/>
                <w:kern w:val="0"/>
                <w:sz w:val="24"/>
              </w:rPr>
            </w:pPr>
            <w:r>
              <w:rPr>
                <w:rFonts w:ascii="Times New Roman" w:hAnsi="Times New Roman" w:eastAsia="方正仿宋_GBK"/>
                <w:kern w:val="0"/>
                <w:sz w:val="24"/>
              </w:rPr>
              <w:t>30以上</w:t>
            </w:r>
          </w:p>
        </w:tc>
        <w:tc>
          <w:tcPr>
            <w:tcW w:w="1505" w:type="dxa"/>
            <w:shd w:val="clear" w:color="auto" w:fill="auto"/>
            <w:vAlign w:val="center"/>
          </w:tcPr>
          <w:p w14:paraId="46A69814">
            <w:pPr>
              <w:widowControl/>
              <w:spacing w:line="280" w:lineRule="exact"/>
              <w:jc w:val="center"/>
              <w:rPr>
                <w:rFonts w:hint="default" w:ascii="Times New Roman" w:hAnsi="Times New Roman" w:eastAsia="方正仿宋_GBK"/>
                <w:kern w:val="0"/>
                <w:sz w:val="24"/>
                <w:lang w:val="en-US" w:eastAsia="zh-CN"/>
              </w:rPr>
            </w:pPr>
            <w:r>
              <w:rPr>
                <w:rFonts w:hint="eastAsia" w:ascii="Times New Roman" w:hAnsi="Times New Roman" w:eastAsia="方正仿宋_GBK"/>
                <w:kern w:val="0"/>
                <w:sz w:val="24"/>
                <w:lang w:val="en-US" w:eastAsia="zh-CN"/>
              </w:rPr>
              <w:t>27.9</w:t>
            </w:r>
          </w:p>
        </w:tc>
        <w:tc>
          <w:tcPr>
            <w:tcW w:w="1012" w:type="dxa"/>
            <w:shd w:val="clear" w:color="auto" w:fill="auto"/>
            <w:vAlign w:val="center"/>
          </w:tcPr>
          <w:p w14:paraId="3EE971CA">
            <w:pPr>
              <w:widowControl/>
              <w:spacing w:line="280" w:lineRule="exact"/>
              <w:jc w:val="center"/>
              <w:rPr>
                <w:rFonts w:ascii="Times New Roman" w:hAnsi="Times New Roman" w:eastAsia="方正仿宋_GBK"/>
                <w:kern w:val="0"/>
                <w:sz w:val="24"/>
              </w:rPr>
            </w:pPr>
            <w:r>
              <w:rPr>
                <w:rFonts w:ascii="Times New Roman" w:hAnsi="Times New Roman" w:eastAsia="方正仿宋_GBK"/>
                <w:kern w:val="0"/>
                <w:sz w:val="24"/>
              </w:rPr>
              <w:t>—</w:t>
            </w:r>
          </w:p>
        </w:tc>
        <w:tc>
          <w:tcPr>
            <w:tcW w:w="907" w:type="dxa"/>
            <w:shd w:val="clear" w:color="auto" w:fill="auto"/>
            <w:noWrap/>
            <w:vAlign w:val="center"/>
          </w:tcPr>
          <w:p w14:paraId="60A1B06E">
            <w:pPr>
              <w:widowControl/>
              <w:spacing w:line="280" w:lineRule="exact"/>
              <w:jc w:val="center"/>
              <w:rPr>
                <w:rFonts w:ascii="Times New Roman" w:hAnsi="Times New Roman" w:eastAsia="方正仿宋_GBK"/>
                <w:kern w:val="0"/>
                <w:sz w:val="24"/>
              </w:rPr>
            </w:pPr>
            <w:r>
              <w:rPr>
                <w:rFonts w:ascii="Times New Roman" w:hAnsi="Times New Roman" w:eastAsia="方正仿宋_GBK"/>
                <w:kern w:val="0"/>
                <w:sz w:val="24"/>
              </w:rPr>
              <w:t>预期性</w:t>
            </w:r>
          </w:p>
        </w:tc>
      </w:tr>
      <w:tr w14:paraId="16057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9" w:hRule="atLeast"/>
          <w:jc w:val="center"/>
        </w:trPr>
        <w:tc>
          <w:tcPr>
            <w:tcW w:w="3874" w:type="dxa"/>
            <w:shd w:val="clear" w:color="auto" w:fill="auto"/>
            <w:vAlign w:val="center"/>
          </w:tcPr>
          <w:p w14:paraId="27CC42ED">
            <w:pPr>
              <w:widowControl/>
              <w:spacing w:line="280" w:lineRule="exact"/>
              <w:rPr>
                <w:rFonts w:ascii="Times New Roman" w:hAnsi="Times New Roman" w:eastAsia="方正仿宋_GBK"/>
                <w:kern w:val="0"/>
                <w:sz w:val="24"/>
              </w:rPr>
            </w:pPr>
            <w:r>
              <w:rPr>
                <w:rFonts w:ascii="Times New Roman" w:hAnsi="Times New Roman" w:eastAsia="方正仿宋_GBK"/>
                <w:kern w:val="0"/>
                <w:sz w:val="24"/>
              </w:rPr>
              <w:t>R&amp;D占生产总值比重</w:t>
            </w:r>
          </w:p>
        </w:tc>
        <w:tc>
          <w:tcPr>
            <w:tcW w:w="1505" w:type="dxa"/>
            <w:shd w:val="clear" w:color="auto" w:fill="auto"/>
            <w:vAlign w:val="center"/>
          </w:tcPr>
          <w:p w14:paraId="2661AE2A">
            <w:pPr>
              <w:widowControl/>
              <w:spacing w:line="280" w:lineRule="exact"/>
              <w:jc w:val="center"/>
              <w:rPr>
                <w:rFonts w:ascii="Times New Roman" w:hAnsi="Times New Roman" w:eastAsia="方正仿宋_GBK"/>
                <w:kern w:val="0"/>
                <w:sz w:val="24"/>
              </w:rPr>
            </w:pPr>
            <w:r>
              <w:rPr>
                <w:rFonts w:ascii="Times New Roman" w:hAnsi="Times New Roman" w:eastAsia="方正仿宋_GBK"/>
                <w:kern w:val="0"/>
                <w:sz w:val="24"/>
              </w:rPr>
              <w:t>2.5</w:t>
            </w:r>
          </w:p>
        </w:tc>
        <w:tc>
          <w:tcPr>
            <w:tcW w:w="1505" w:type="dxa"/>
            <w:shd w:val="clear" w:color="auto" w:fill="auto"/>
            <w:vAlign w:val="center"/>
          </w:tcPr>
          <w:p w14:paraId="640DA09F">
            <w:pPr>
              <w:widowControl/>
              <w:spacing w:line="280" w:lineRule="exact"/>
              <w:jc w:val="center"/>
              <w:rPr>
                <w:rFonts w:ascii="Times New Roman" w:hAnsi="Times New Roman" w:eastAsia="方正仿宋_GBK"/>
                <w:kern w:val="0"/>
                <w:sz w:val="24"/>
              </w:rPr>
            </w:pPr>
            <w:r>
              <w:rPr>
                <w:rFonts w:hint="eastAsia" w:ascii="Times New Roman" w:hAnsi="Times New Roman" w:eastAsia="方正仿宋_GBK"/>
                <w:kern w:val="0"/>
                <w:sz w:val="24"/>
              </w:rPr>
              <w:t>1.2</w:t>
            </w:r>
          </w:p>
        </w:tc>
        <w:tc>
          <w:tcPr>
            <w:tcW w:w="1012" w:type="dxa"/>
            <w:shd w:val="clear" w:color="auto" w:fill="auto"/>
            <w:vAlign w:val="center"/>
          </w:tcPr>
          <w:p w14:paraId="3E9C722A">
            <w:pPr>
              <w:widowControl/>
              <w:spacing w:line="280" w:lineRule="exact"/>
              <w:jc w:val="center"/>
              <w:rPr>
                <w:rFonts w:ascii="Times New Roman" w:hAnsi="Times New Roman" w:eastAsia="方正仿宋_GBK"/>
                <w:kern w:val="0"/>
                <w:sz w:val="24"/>
              </w:rPr>
            </w:pPr>
            <w:r>
              <w:rPr>
                <w:rFonts w:ascii="Times New Roman" w:hAnsi="Times New Roman" w:eastAsia="方正仿宋_GBK"/>
                <w:kern w:val="0"/>
                <w:sz w:val="24"/>
              </w:rPr>
              <w:t>—</w:t>
            </w:r>
          </w:p>
        </w:tc>
        <w:tc>
          <w:tcPr>
            <w:tcW w:w="907" w:type="dxa"/>
            <w:shd w:val="clear" w:color="auto" w:fill="auto"/>
            <w:noWrap/>
            <w:vAlign w:val="center"/>
          </w:tcPr>
          <w:p w14:paraId="5F14E667">
            <w:pPr>
              <w:widowControl/>
              <w:spacing w:line="280" w:lineRule="exact"/>
              <w:jc w:val="center"/>
              <w:rPr>
                <w:rFonts w:ascii="Times New Roman" w:hAnsi="Times New Roman" w:eastAsia="方正仿宋_GBK"/>
                <w:kern w:val="0"/>
                <w:sz w:val="24"/>
              </w:rPr>
            </w:pPr>
            <w:r>
              <w:rPr>
                <w:rFonts w:ascii="Times New Roman" w:hAnsi="Times New Roman" w:eastAsia="方正仿宋_GBK"/>
                <w:kern w:val="0"/>
                <w:sz w:val="24"/>
              </w:rPr>
              <w:t>预期性</w:t>
            </w:r>
          </w:p>
        </w:tc>
      </w:tr>
      <w:tr w14:paraId="02BD0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9" w:hRule="atLeast"/>
          <w:jc w:val="center"/>
        </w:trPr>
        <w:tc>
          <w:tcPr>
            <w:tcW w:w="3874" w:type="dxa"/>
            <w:shd w:val="clear" w:color="auto" w:fill="auto"/>
            <w:vAlign w:val="center"/>
          </w:tcPr>
          <w:p w14:paraId="414122AE">
            <w:pPr>
              <w:widowControl/>
              <w:spacing w:line="280" w:lineRule="exact"/>
              <w:rPr>
                <w:rFonts w:ascii="Times New Roman" w:hAnsi="Times New Roman" w:eastAsia="方正仿宋_GBK"/>
                <w:kern w:val="0"/>
                <w:sz w:val="24"/>
              </w:rPr>
            </w:pPr>
            <w:r>
              <w:rPr>
                <w:rFonts w:ascii="Times New Roman" w:hAnsi="Times New Roman" w:eastAsia="方正仿宋_GBK"/>
                <w:kern w:val="0"/>
                <w:sz w:val="24"/>
              </w:rPr>
              <w:t>财政教育支出比重（%）</w:t>
            </w:r>
          </w:p>
        </w:tc>
        <w:tc>
          <w:tcPr>
            <w:tcW w:w="1505" w:type="dxa"/>
            <w:shd w:val="clear" w:color="auto" w:fill="auto"/>
            <w:vAlign w:val="center"/>
          </w:tcPr>
          <w:p w14:paraId="5D44152E">
            <w:pPr>
              <w:widowControl/>
              <w:spacing w:line="280" w:lineRule="exact"/>
              <w:jc w:val="center"/>
              <w:rPr>
                <w:rFonts w:ascii="Times New Roman" w:hAnsi="Times New Roman" w:eastAsia="方正仿宋_GBK"/>
                <w:kern w:val="0"/>
                <w:sz w:val="24"/>
              </w:rPr>
            </w:pPr>
            <w:r>
              <w:rPr>
                <w:rFonts w:ascii="Times New Roman" w:hAnsi="Times New Roman" w:eastAsia="方正仿宋_GBK"/>
                <w:kern w:val="0"/>
                <w:sz w:val="24"/>
              </w:rPr>
              <w:t>22.5</w:t>
            </w:r>
          </w:p>
        </w:tc>
        <w:tc>
          <w:tcPr>
            <w:tcW w:w="1505" w:type="dxa"/>
            <w:shd w:val="clear" w:color="auto" w:fill="auto"/>
            <w:vAlign w:val="center"/>
          </w:tcPr>
          <w:p w14:paraId="4DECA040">
            <w:pPr>
              <w:widowControl/>
              <w:spacing w:line="280" w:lineRule="exact"/>
              <w:jc w:val="center"/>
              <w:rPr>
                <w:rFonts w:ascii="Times New Roman" w:hAnsi="Times New Roman" w:eastAsia="方正仿宋_GBK"/>
                <w:kern w:val="0"/>
                <w:sz w:val="24"/>
              </w:rPr>
            </w:pPr>
            <w:r>
              <w:rPr>
                <w:rFonts w:hint="eastAsia" w:ascii="Times New Roman" w:hAnsi="Times New Roman" w:eastAsia="方正仿宋_GBK"/>
                <w:kern w:val="0"/>
                <w:sz w:val="24"/>
              </w:rPr>
              <w:t>22.8</w:t>
            </w:r>
          </w:p>
        </w:tc>
        <w:tc>
          <w:tcPr>
            <w:tcW w:w="1012" w:type="dxa"/>
            <w:shd w:val="clear" w:color="auto" w:fill="auto"/>
            <w:vAlign w:val="center"/>
          </w:tcPr>
          <w:p w14:paraId="55F8E67A">
            <w:pPr>
              <w:widowControl/>
              <w:spacing w:line="280" w:lineRule="exact"/>
              <w:jc w:val="center"/>
              <w:rPr>
                <w:rFonts w:ascii="Times New Roman" w:hAnsi="Times New Roman" w:eastAsia="方正仿宋_GBK"/>
                <w:kern w:val="0"/>
                <w:sz w:val="24"/>
              </w:rPr>
            </w:pPr>
            <w:r>
              <w:rPr>
                <w:rFonts w:ascii="Times New Roman" w:hAnsi="Times New Roman" w:eastAsia="方正仿宋_GBK"/>
                <w:kern w:val="0"/>
                <w:sz w:val="24"/>
              </w:rPr>
              <w:t>—</w:t>
            </w:r>
          </w:p>
        </w:tc>
        <w:tc>
          <w:tcPr>
            <w:tcW w:w="907" w:type="dxa"/>
            <w:shd w:val="clear" w:color="auto" w:fill="auto"/>
            <w:noWrap/>
            <w:vAlign w:val="center"/>
          </w:tcPr>
          <w:p w14:paraId="324C5D0E">
            <w:pPr>
              <w:widowControl/>
              <w:spacing w:line="280" w:lineRule="exact"/>
              <w:jc w:val="center"/>
              <w:rPr>
                <w:rFonts w:ascii="Times New Roman" w:hAnsi="Times New Roman" w:eastAsia="方正仿宋_GBK"/>
                <w:kern w:val="0"/>
                <w:sz w:val="24"/>
              </w:rPr>
            </w:pPr>
            <w:r>
              <w:rPr>
                <w:rFonts w:ascii="Times New Roman" w:hAnsi="Times New Roman" w:eastAsia="方正仿宋_GBK"/>
                <w:kern w:val="0"/>
                <w:sz w:val="24"/>
              </w:rPr>
              <w:t>预期性</w:t>
            </w:r>
          </w:p>
        </w:tc>
      </w:tr>
      <w:tr w14:paraId="177DF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9" w:hRule="atLeast"/>
          <w:jc w:val="center"/>
        </w:trPr>
        <w:tc>
          <w:tcPr>
            <w:tcW w:w="3874" w:type="dxa"/>
            <w:shd w:val="clear" w:color="auto" w:fill="auto"/>
            <w:vAlign w:val="center"/>
          </w:tcPr>
          <w:p w14:paraId="213F548C">
            <w:pPr>
              <w:widowControl/>
              <w:spacing w:line="280" w:lineRule="exact"/>
              <w:rPr>
                <w:rFonts w:ascii="Times New Roman" w:hAnsi="Times New Roman" w:eastAsia="方正仿宋_GBK"/>
                <w:kern w:val="0"/>
                <w:sz w:val="24"/>
              </w:rPr>
            </w:pPr>
            <w:r>
              <w:rPr>
                <w:rFonts w:ascii="Times New Roman" w:hAnsi="Times New Roman" w:eastAsia="方正仿宋_GBK"/>
                <w:kern w:val="0"/>
                <w:sz w:val="24"/>
              </w:rPr>
              <w:t>常住人口城镇化率（%）</w:t>
            </w:r>
          </w:p>
        </w:tc>
        <w:tc>
          <w:tcPr>
            <w:tcW w:w="1505" w:type="dxa"/>
            <w:shd w:val="clear" w:color="auto" w:fill="auto"/>
            <w:vAlign w:val="center"/>
          </w:tcPr>
          <w:p w14:paraId="385D4904">
            <w:pPr>
              <w:widowControl/>
              <w:spacing w:line="280" w:lineRule="exact"/>
              <w:jc w:val="center"/>
              <w:rPr>
                <w:rFonts w:ascii="Times New Roman" w:hAnsi="Times New Roman" w:eastAsia="方正仿宋_GBK"/>
                <w:kern w:val="0"/>
                <w:sz w:val="24"/>
              </w:rPr>
            </w:pPr>
            <w:r>
              <w:rPr>
                <w:rFonts w:ascii="Times New Roman" w:hAnsi="Times New Roman" w:eastAsia="方正仿宋_GBK"/>
                <w:kern w:val="0"/>
                <w:sz w:val="24"/>
              </w:rPr>
              <w:t>60以上</w:t>
            </w:r>
          </w:p>
        </w:tc>
        <w:tc>
          <w:tcPr>
            <w:tcW w:w="1505" w:type="dxa"/>
            <w:shd w:val="clear" w:color="auto" w:fill="auto"/>
            <w:vAlign w:val="center"/>
          </w:tcPr>
          <w:p w14:paraId="739A1608">
            <w:pPr>
              <w:widowControl/>
              <w:spacing w:line="280" w:lineRule="exact"/>
              <w:jc w:val="center"/>
              <w:rPr>
                <w:rFonts w:ascii="Times New Roman" w:hAnsi="Times New Roman" w:eastAsia="方正仿宋_GBK"/>
                <w:kern w:val="0"/>
                <w:sz w:val="24"/>
              </w:rPr>
            </w:pPr>
            <w:r>
              <w:rPr>
                <w:rFonts w:hint="eastAsia" w:ascii="Times New Roman" w:hAnsi="Times New Roman" w:eastAsia="方正仿宋_GBK"/>
                <w:kern w:val="0"/>
                <w:sz w:val="24"/>
              </w:rPr>
              <w:t>54</w:t>
            </w:r>
          </w:p>
        </w:tc>
        <w:tc>
          <w:tcPr>
            <w:tcW w:w="1012" w:type="dxa"/>
            <w:shd w:val="clear" w:color="auto" w:fill="auto"/>
            <w:vAlign w:val="center"/>
          </w:tcPr>
          <w:p w14:paraId="06671B6B">
            <w:pPr>
              <w:widowControl/>
              <w:spacing w:line="280" w:lineRule="exact"/>
              <w:jc w:val="center"/>
              <w:rPr>
                <w:rFonts w:ascii="Times New Roman" w:hAnsi="Times New Roman" w:eastAsia="方正仿宋_GBK"/>
                <w:kern w:val="0"/>
                <w:sz w:val="24"/>
              </w:rPr>
            </w:pPr>
            <w:r>
              <w:rPr>
                <w:rFonts w:ascii="Times New Roman" w:hAnsi="Times New Roman" w:eastAsia="方正仿宋_GBK"/>
                <w:kern w:val="0"/>
                <w:sz w:val="24"/>
              </w:rPr>
              <w:t>—</w:t>
            </w:r>
          </w:p>
        </w:tc>
        <w:tc>
          <w:tcPr>
            <w:tcW w:w="907" w:type="dxa"/>
            <w:shd w:val="clear" w:color="auto" w:fill="auto"/>
            <w:noWrap/>
            <w:vAlign w:val="center"/>
          </w:tcPr>
          <w:p w14:paraId="2EA58498">
            <w:pPr>
              <w:widowControl/>
              <w:spacing w:line="280" w:lineRule="exact"/>
              <w:jc w:val="center"/>
              <w:rPr>
                <w:rFonts w:ascii="Times New Roman" w:hAnsi="Times New Roman" w:eastAsia="方正仿宋_GBK"/>
                <w:kern w:val="0"/>
                <w:sz w:val="24"/>
              </w:rPr>
            </w:pPr>
            <w:r>
              <w:rPr>
                <w:rFonts w:ascii="Times New Roman" w:hAnsi="Times New Roman" w:eastAsia="方正仿宋_GBK"/>
                <w:kern w:val="0"/>
                <w:sz w:val="24"/>
              </w:rPr>
              <w:t>预期性</w:t>
            </w:r>
          </w:p>
        </w:tc>
      </w:tr>
      <w:tr w14:paraId="7C113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9" w:hRule="atLeast"/>
          <w:jc w:val="center"/>
        </w:trPr>
        <w:tc>
          <w:tcPr>
            <w:tcW w:w="8803" w:type="dxa"/>
            <w:gridSpan w:val="5"/>
            <w:shd w:val="clear" w:color="auto" w:fill="auto"/>
            <w:vAlign w:val="center"/>
          </w:tcPr>
          <w:p w14:paraId="1E0EF7BC">
            <w:pPr>
              <w:widowControl/>
              <w:spacing w:line="280" w:lineRule="exact"/>
              <w:jc w:val="left"/>
              <w:rPr>
                <w:rFonts w:ascii="Times New Roman" w:hAnsi="Times New Roman" w:eastAsia="方正仿宋_GBK"/>
                <w:kern w:val="0"/>
                <w:sz w:val="24"/>
              </w:rPr>
            </w:pPr>
            <w:r>
              <w:rPr>
                <w:rFonts w:ascii="Times New Roman" w:hAnsi="Times New Roman" w:eastAsia="方正仿宋_GBK"/>
                <w:kern w:val="0"/>
                <w:sz w:val="24"/>
              </w:rPr>
              <w:t>三、开放合作</w:t>
            </w:r>
          </w:p>
        </w:tc>
      </w:tr>
      <w:tr w14:paraId="79AF0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9" w:hRule="atLeast"/>
          <w:jc w:val="center"/>
        </w:trPr>
        <w:tc>
          <w:tcPr>
            <w:tcW w:w="3874" w:type="dxa"/>
            <w:shd w:val="clear" w:color="auto" w:fill="auto"/>
            <w:vAlign w:val="center"/>
          </w:tcPr>
          <w:p w14:paraId="5601265C">
            <w:pPr>
              <w:widowControl/>
              <w:spacing w:line="280" w:lineRule="exact"/>
              <w:rPr>
                <w:rFonts w:ascii="Times New Roman" w:hAnsi="Times New Roman" w:eastAsia="方正仿宋_GBK"/>
                <w:kern w:val="0"/>
                <w:sz w:val="24"/>
              </w:rPr>
            </w:pPr>
            <w:r>
              <w:rPr>
                <w:rFonts w:ascii="Times New Roman" w:hAnsi="Times New Roman" w:eastAsia="方正仿宋_GBK"/>
                <w:kern w:val="0"/>
                <w:sz w:val="24"/>
              </w:rPr>
              <w:t>进出口总额</w:t>
            </w:r>
          </w:p>
        </w:tc>
        <w:tc>
          <w:tcPr>
            <w:tcW w:w="1505" w:type="dxa"/>
            <w:shd w:val="clear" w:color="auto" w:fill="auto"/>
            <w:vAlign w:val="center"/>
          </w:tcPr>
          <w:p w14:paraId="00B119E4">
            <w:pPr>
              <w:widowControl/>
              <w:spacing w:line="280" w:lineRule="exact"/>
              <w:jc w:val="center"/>
              <w:rPr>
                <w:rFonts w:ascii="Times New Roman" w:hAnsi="Times New Roman" w:eastAsia="方正仿宋_GBK"/>
                <w:kern w:val="0"/>
                <w:sz w:val="24"/>
              </w:rPr>
            </w:pPr>
            <w:r>
              <w:rPr>
                <w:rFonts w:ascii="Times New Roman" w:hAnsi="Times New Roman" w:eastAsia="方正仿宋_GBK"/>
                <w:kern w:val="0"/>
                <w:sz w:val="24"/>
              </w:rPr>
              <w:t>4</w:t>
            </w:r>
          </w:p>
        </w:tc>
        <w:tc>
          <w:tcPr>
            <w:tcW w:w="1505" w:type="dxa"/>
            <w:shd w:val="clear" w:color="auto" w:fill="auto"/>
            <w:vAlign w:val="center"/>
          </w:tcPr>
          <w:p w14:paraId="6B19064E">
            <w:pPr>
              <w:widowControl/>
              <w:spacing w:line="280" w:lineRule="exact"/>
              <w:jc w:val="center"/>
              <w:rPr>
                <w:rFonts w:ascii="Times New Roman" w:hAnsi="Times New Roman" w:eastAsia="方正仿宋_GBK"/>
                <w:kern w:val="0"/>
                <w:sz w:val="24"/>
              </w:rPr>
            </w:pPr>
            <w:r>
              <w:rPr>
                <w:rFonts w:ascii="Times New Roman" w:hAnsi="Times New Roman" w:eastAsia="方正仿宋_GBK"/>
                <w:kern w:val="0"/>
                <w:sz w:val="24"/>
              </w:rPr>
              <w:t>2.04</w:t>
            </w:r>
          </w:p>
        </w:tc>
        <w:tc>
          <w:tcPr>
            <w:tcW w:w="1012" w:type="dxa"/>
            <w:shd w:val="clear" w:color="auto" w:fill="auto"/>
            <w:vAlign w:val="center"/>
          </w:tcPr>
          <w:p w14:paraId="1827FA14">
            <w:pPr>
              <w:widowControl/>
              <w:spacing w:line="280" w:lineRule="exact"/>
              <w:jc w:val="center"/>
              <w:rPr>
                <w:rFonts w:ascii="Times New Roman" w:hAnsi="Times New Roman" w:eastAsia="方正仿宋_GBK"/>
                <w:kern w:val="0"/>
                <w:sz w:val="24"/>
              </w:rPr>
            </w:pPr>
            <w:r>
              <w:rPr>
                <w:rFonts w:hint="eastAsia" w:ascii="Times New Roman" w:hAnsi="Times New Roman" w:eastAsia="方正仿宋_GBK"/>
                <w:kern w:val="0"/>
                <w:sz w:val="24"/>
              </w:rPr>
              <w:t>-3.2</w:t>
            </w:r>
          </w:p>
        </w:tc>
        <w:tc>
          <w:tcPr>
            <w:tcW w:w="907" w:type="dxa"/>
            <w:shd w:val="clear" w:color="auto" w:fill="auto"/>
            <w:noWrap/>
            <w:vAlign w:val="center"/>
          </w:tcPr>
          <w:p w14:paraId="3EC9F745">
            <w:pPr>
              <w:widowControl/>
              <w:spacing w:line="280" w:lineRule="exact"/>
              <w:jc w:val="center"/>
              <w:rPr>
                <w:rFonts w:ascii="Times New Roman" w:hAnsi="Times New Roman" w:eastAsia="方正仿宋_GBK"/>
                <w:kern w:val="0"/>
                <w:sz w:val="24"/>
              </w:rPr>
            </w:pPr>
            <w:r>
              <w:rPr>
                <w:rFonts w:ascii="Times New Roman" w:hAnsi="Times New Roman" w:eastAsia="方正仿宋_GBK"/>
                <w:kern w:val="0"/>
                <w:sz w:val="24"/>
              </w:rPr>
              <w:t>预期性</w:t>
            </w:r>
          </w:p>
        </w:tc>
      </w:tr>
      <w:tr w14:paraId="27886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9" w:hRule="atLeast"/>
          <w:jc w:val="center"/>
        </w:trPr>
        <w:tc>
          <w:tcPr>
            <w:tcW w:w="3874" w:type="dxa"/>
            <w:shd w:val="clear" w:color="auto" w:fill="auto"/>
            <w:vAlign w:val="center"/>
          </w:tcPr>
          <w:p w14:paraId="472315D4">
            <w:pPr>
              <w:widowControl/>
              <w:spacing w:line="280" w:lineRule="exact"/>
              <w:rPr>
                <w:rFonts w:ascii="Times New Roman" w:hAnsi="Times New Roman" w:eastAsia="方正仿宋_GBK"/>
                <w:kern w:val="0"/>
                <w:sz w:val="24"/>
              </w:rPr>
            </w:pPr>
            <w:r>
              <w:rPr>
                <w:rFonts w:ascii="Times New Roman" w:hAnsi="Times New Roman" w:eastAsia="方正仿宋_GBK"/>
                <w:kern w:val="0"/>
                <w:sz w:val="24"/>
              </w:rPr>
              <w:t>五年累计引进外资（亿元）</w:t>
            </w:r>
          </w:p>
        </w:tc>
        <w:tc>
          <w:tcPr>
            <w:tcW w:w="1505" w:type="dxa"/>
            <w:shd w:val="clear" w:color="auto" w:fill="auto"/>
            <w:vAlign w:val="center"/>
          </w:tcPr>
          <w:p w14:paraId="64229857">
            <w:pPr>
              <w:widowControl/>
              <w:spacing w:line="280" w:lineRule="exact"/>
              <w:jc w:val="center"/>
              <w:rPr>
                <w:rFonts w:ascii="Times New Roman" w:hAnsi="Times New Roman" w:eastAsia="方正仿宋_GBK"/>
                <w:kern w:val="0"/>
                <w:sz w:val="24"/>
              </w:rPr>
            </w:pPr>
            <w:r>
              <w:rPr>
                <w:rFonts w:ascii="Times New Roman" w:hAnsi="Times New Roman" w:eastAsia="方正仿宋_GBK"/>
                <w:kern w:val="0"/>
                <w:sz w:val="24"/>
              </w:rPr>
              <w:t>累计450亿元</w:t>
            </w:r>
          </w:p>
        </w:tc>
        <w:tc>
          <w:tcPr>
            <w:tcW w:w="1505" w:type="dxa"/>
            <w:shd w:val="clear" w:color="auto" w:fill="auto"/>
            <w:vAlign w:val="center"/>
          </w:tcPr>
          <w:p w14:paraId="402FD8D0">
            <w:pPr>
              <w:widowControl/>
              <w:spacing w:line="280" w:lineRule="exact"/>
              <w:jc w:val="center"/>
              <w:rPr>
                <w:rFonts w:hint="default" w:ascii="Times New Roman" w:hAnsi="Times New Roman" w:eastAsia="方正仿宋_GBK"/>
                <w:kern w:val="0"/>
                <w:sz w:val="24"/>
                <w:lang w:val="en-US" w:eastAsia="zh-CN"/>
              </w:rPr>
            </w:pPr>
            <w:r>
              <w:rPr>
                <w:rFonts w:hint="eastAsia" w:ascii="Times New Roman" w:hAnsi="Times New Roman" w:eastAsia="方正仿宋_GBK"/>
                <w:kern w:val="0"/>
                <w:sz w:val="24"/>
                <w:lang w:val="en-US" w:eastAsia="zh-CN"/>
              </w:rPr>
              <w:t>390</w:t>
            </w:r>
          </w:p>
        </w:tc>
        <w:tc>
          <w:tcPr>
            <w:tcW w:w="1012" w:type="dxa"/>
            <w:shd w:val="clear" w:color="auto" w:fill="auto"/>
            <w:vAlign w:val="center"/>
          </w:tcPr>
          <w:p w14:paraId="02964255">
            <w:pPr>
              <w:widowControl/>
              <w:spacing w:line="280" w:lineRule="exact"/>
              <w:jc w:val="center"/>
              <w:rPr>
                <w:rFonts w:ascii="Times New Roman" w:hAnsi="Times New Roman" w:eastAsia="方正仿宋_GBK"/>
                <w:kern w:val="0"/>
                <w:sz w:val="24"/>
              </w:rPr>
            </w:pPr>
            <w:r>
              <w:rPr>
                <w:rFonts w:ascii="Times New Roman" w:hAnsi="Times New Roman" w:eastAsia="方正仿宋_GBK"/>
                <w:kern w:val="0"/>
                <w:sz w:val="24"/>
              </w:rPr>
              <w:t>—</w:t>
            </w:r>
          </w:p>
        </w:tc>
        <w:tc>
          <w:tcPr>
            <w:tcW w:w="907" w:type="dxa"/>
            <w:shd w:val="clear" w:color="auto" w:fill="auto"/>
            <w:noWrap/>
            <w:vAlign w:val="center"/>
          </w:tcPr>
          <w:p w14:paraId="009DC64F">
            <w:pPr>
              <w:widowControl/>
              <w:spacing w:line="280" w:lineRule="exact"/>
              <w:jc w:val="center"/>
              <w:rPr>
                <w:rFonts w:ascii="Times New Roman" w:hAnsi="Times New Roman" w:eastAsia="方正仿宋_GBK"/>
                <w:kern w:val="0"/>
                <w:sz w:val="24"/>
              </w:rPr>
            </w:pPr>
            <w:r>
              <w:rPr>
                <w:rFonts w:ascii="Times New Roman" w:hAnsi="Times New Roman" w:eastAsia="方正仿宋_GBK"/>
                <w:kern w:val="0"/>
                <w:sz w:val="24"/>
              </w:rPr>
              <w:t>预期性</w:t>
            </w:r>
          </w:p>
        </w:tc>
      </w:tr>
      <w:tr w14:paraId="174CC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9" w:hRule="atLeast"/>
          <w:jc w:val="center"/>
        </w:trPr>
        <w:tc>
          <w:tcPr>
            <w:tcW w:w="3874" w:type="dxa"/>
            <w:shd w:val="clear" w:color="auto" w:fill="auto"/>
            <w:vAlign w:val="center"/>
          </w:tcPr>
          <w:p w14:paraId="2674AFF0">
            <w:pPr>
              <w:widowControl/>
              <w:spacing w:line="280" w:lineRule="exact"/>
              <w:rPr>
                <w:rFonts w:ascii="Times New Roman" w:hAnsi="Times New Roman" w:eastAsia="方正仿宋_GBK"/>
                <w:kern w:val="0"/>
                <w:sz w:val="24"/>
              </w:rPr>
            </w:pPr>
            <w:r>
              <w:rPr>
                <w:rFonts w:ascii="Times New Roman" w:hAnsi="Times New Roman" w:eastAsia="方正仿宋_GBK"/>
                <w:kern w:val="0"/>
                <w:sz w:val="24"/>
              </w:rPr>
              <w:t>其中：境外投资（亿美元）</w:t>
            </w:r>
          </w:p>
        </w:tc>
        <w:tc>
          <w:tcPr>
            <w:tcW w:w="1505" w:type="dxa"/>
            <w:shd w:val="clear" w:color="auto" w:fill="auto"/>
            <w:vAlign w:val="center"/>
          </w:tcPr>
          <w:p w14:paraId="60CE7EB9">
            <w:pPr>
              <w:widowControl/>
              <w:spacing w:line="280" w:lineRule="exact"/>
              <w:jc w:val="center"/>
              <w:rPr>
                <w:rFonts w:ascii="Times New Roman" w:hAnsi="Times New Roman" w:eastAsia="方正仿宋_GBK"/>
                <w:kern w:val="0"/>
                <w:sz w:val="24"/>
              </w:rPr>
            </w:pPr>
            <w:r>
              <w:rPr>
                <w:rFonts w:ascii="Times New Roman" w:hAnsi="Times New Roman" w:eastAsia="方正仿宋_GBK"/>
                <w:kern w:val="0"/>
                <w:sz w:val="24"/>
              </w:rPr>
              <w:t>累计1亿美元</w:t>
            </w:r>
          </w:p>
        </w:tc>
        <w:tc>
          <w:tcPr>
            <w:tcW w:w="1505" w:type="dxa"/>
            <w:shd w:val="clear" w:color="auto" w:fill="auto"/>
            <w:vAlign w:val="center"/>
          </w:tcPr>
          <w:p w14:paraId="6D4CE819">
            <w:pPr>
              <w:widowControl/>
              <w:spacing w:line="280" w:lineRule="exact"/>
              <w:jc w:val="center"/>
              <w:rPr>
                <w:rFonts w:hint="default" w:ascii="Times New Roman" w:hAnsi="Times New Roman" w:eastAsia="方正仿宋_GBK"/>
                <w:kern w:val="0"/>
                <w:sz w:val="24"/>
                <w:lang w:val="en-US" w:eastAsia="zh-CN"/>
              </w:rPr>
            </w:pPr>
            <w:r>
              <w:rPr>
                <w:rFonts w:hint="eastAsia" w:ascii="Times New Roman" w:hAnsi="Times New Roman" w:eastAsia="方正仿宋_GBK"/>
                <w:kern w:val="0"/>
                <w:sz w:val="24"/>
              </w:rPr>
              <w:t>0.</w:t>
            </w:r>
            <w:r>
              <w:rPr>
                <w:rFonts w:hint="eastAsia" w:ascii="Times New Roman" w:hAnsi="Times New Roman" w:eastAsia="方正仿宋_GBK"/>
                <w:kern w:val="0"/>
                <w:sz w:val="24"/>
                <w:lang w:val="en-US" w:eastAsia="zh-CN"/>
              </w:rPr>
              <w:t>36</w:t>
            </w:r>
          </w:p>
        </w:tc>
        <w:tc>
          <w:tcPr>
            <w:tcW w:w="1012" w:type="dxa"/>
            <w:shd w:val="clear" w:color="auto" w:fill="auto"/>
            <w:vAlign w:val="center"/>
          </w:tcPr>
          <w:p w14:paraId="7D5B1842">
            <w:pPr>
              <w:widowControl/>
              <w:spacing w:line="280" w:lineRule="exact"/>
              <w:jc w:val="center"/>
              <w:rPr>
                <w:rFonts w:ascii="Times New Roman" w:hAnsi="Times New Roman" w:eastAsia="方正仿宋_GBK"/>
                <w:kern w:val="0"/>
                <w:sz w:val="24"/>
              </w:rPr>
            </w:pPr>
            <w:r>
              <w:rPr>
                <w:rFonts w:ascii="Times New Roman" w:hAnsi="Times New Roman" w:eastAsia="方正仿宋_GBK"/>
                <w:kern w:val="0"/>
                <w:sz w:val="24"/>
              </w:rPr>
              <w:t>—</w:t>
            </w:r>
          </w:p>
        </w:tc>
        <w:tc>
          <w:tcPr>
            <w:tcW w:w="907" w:type="dxa"/>
            <w:shd w:val="clear" w:color="auto" w:fill="auto"/>
            <w:noWrap/>
            <w:vAlign w:val="center"/>
          </w:tcPr>
          <w:p w14:paraId="66AF8BBF">
            <w:pPr>
              <w:widowControl/>
              <w:spacing w:line="280" w:lineRule="exact"/>
              <w:jc w:val="center"/>
              <w:rPr>
                <w:rFonts w:ascii="Times New Roman" w:hAnsi="Times New Roman" w:eastAsia="方正仿宋_GBK"/>
                <w:kern w:val="0"/>
                <w:sz w:val="24"/>
              </w:rPr>
            </w:pPr>
            <w:r>
              <w:rPr>
                <w:rFonts w:ascii="Times New Roman" w:hAnsi="Times New Roman" w:eastAsia="方正仿宋_GBK"/>
                <w:kern w:val="0"/>
                <w:sz w:val="24"/>
              </w:rPr>
              <w:t>预期性</w:t>
            </w:r>
          </w:p>
        </w:tc>
      </w:tr>
      <w:tr w14:paraId="039E6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9" w:hRule="atLeast"/>
          <w:jc w:val="center"/>
        </w:trPr>
        <w:tc>
          <w:tcPr>
            <w:tcW w:w="8803" w:type="dxa"/>
            <w:gridSpan w:val="5"/>
            <w:shd w:val="clear" w:color="auto" w:fill="auto"/>
            <w:vAlign w:val="center"/>
          </w:tcPr>
          <w:p w14:paraId="4FA1FC09">
            <w:pPr>
              <w:widowControl/>
              <w:spacing w:line="280" w:lineRule="exact"/>
              <w:rPr>
                <w:rFonts w:ascii="Times New Roman" w:hAnsi="Times New Roman" w:eastAsia="方正楷体_GBK"/>
                <w:bCs/>
                <w:kern w:val="0"/>
                <w:sz w:val="24"/>
              </w:rPr>
            </w:pPr>
            <w:r>
              <w:rPr>
                <w:rFonts w:ascii="Times New Roman" w:hAnsi="Times New Roman" w:eastAsia="方正楷体_GBK"/>
                <w:bCs/>
                <w:kern w:val="0"/>
                <w:sz w:val="24"/>
              </w:rPr>
              <w:t>四、生态环境</w:t>
            </w:r>
          </w:p>
        </w:tc>
      </w:tr>
      <w:tr w14:paraId="520BF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9" w:hRule="atLeast"/>
          <w:jc w:val="center"/>
        </w:trPr>
        <w:tc>
          <w:tcPr>
            <w:tcW w:w="3874" w:type="dxa"/>
            <w:shd w:val="clear" w:color="auto" w:fill="auto"/>
            <w:vAlign w:val="center"/>
          </w:tcPr>
          <w:p w14:paraId="5D33FDBA">
            <w:pPr>
              <w:widowControl/>
              <w:spacing w:line="280" w:lineRule="exact"/>
              <w:rPr>
                <w:rFonts w:ascii="Times New Roman" w:hAnsi="Times New Roman" w:eastAsia="方正仿宋_GBK"/>
                <w:kern w:val="0"/>
                <w:sz w:val="24"/>
              </w:rPr>
            </w:pPr>
            <w:r>
              <w:rPr>
                <w:rFonts w:ascii="Times New Roman" w:hAnsi="Times New Roman" w:eastAsia="方正仿宋_GBK"/>
                <w:kern w:val="0"/>
                <w:sz w:val="24"/>
              </w:rPr>
              <w:t>单位GDP能耗降低</w:t>
            </w:r>
          </w:p>
        </w:tc>
        <w:tc>
          <w:tcPr>
            <w:tcW w:w="1505" w:type="dxa"/>
            <w:shd w:val="clear" w:color="auto" w:fill="auto"/>
            <w:vAlign w:val="center"/>
          </w:tcPr>
          <w:p w14:paraId="60AB1781">
            <w:pPr>
              <w:widowControl/>
              <w:spacing w:line="280" w:lineRule="exact"/>
              <w:jc w:val="center"/>
              <w:rPr>
                <w:rFonts w:ascii="Times New Roman" w:hAnsi="Times New Roman" w:eastAsia="方正仿宋_GBK"/>
                <w:kern w:val="0"/>
                <w:sz w:val="24"/>
              </w:rPr>
            </w:pPr>
            <w:r>
              <w:rPr>
                <w:rFonts w:ascii="Times New Roman" w:hAnsi="Times New Roman" w:eastAsia="方正仿宋_GBK"/>
                <w:kern w:val="0"/>
                <w:sz w:val="24"/>
              </w:rPr>
              <w:t>达到省控目标</w:t>
            </w:r>
          </w:p>
        </w:tc>
        <w:tc>
          <w:tcPr>
            <w:tcW w:w="1505" w:type="dxa"/>
            <w:shd w:val="clear" w:color="auto" w:fill="auto"/>
            <w:vAlign w:val="center"/>
          </w:tcPr>
          <w:p w14:paraId="64F439B7">
            <w:pPr>
              <w:widowControl/>
              <w:spacing w:line="280" w:lineRule="exact"/>
              <w:jc w:val="center"/>
              <w:rPr>
                <w:rFonts w:ascii="Times New Roman" w:hAnsi="Times New Roman" w:eastAsia="方正仿宋_GBK"/>
                <w:kern w:val="0"/>
                <w:sz w:val="24"/>
              </w:rPr>
            </w:pPr>
            <w:r>
              <w:rPr>
                <w:rFonts w:ascii="Times New Roman" w:hAnsi="Times New Roman" w:eastAsia="方正仿宋_GBK"/>
                <w:kern w:val="0"/>
                <w:sz w:val="24"/>
              </w:rPr>
              <w:t>达到省控目标</w:t>
            </w:r>
          </w:p>
        </w:tc>
        <w:tc>
          <w:tcPr>
            <w:tcW w:w="1012" w:type="dxa"/>
            <w:shd w:val="clear" w:color="auto" w:fill="auto"/>
            <w:vAlign w:val="center"/>
          </w:tcPr>
          <w:p w14:paraId="2C984828">
            <w:pPr>
              <w:widowControl/>
              <w:spacing w:line="280" w:lineRule="exact"/>
              <w:jc w:val="center"/>
              <w:rPr>
                <w:rFonts w:ascii="Times New Roman" w:hAnsi="Times New Roman" w:eastAsia="方正仿宋_GBK"/>
                <w:kern w:val="0"/>
                <w:sz w:val="24"/>
              </w:rPr>
            </w:pPr>
            <w:r>
              <w:rPr>
                <w:rFonts w:ascii="Times New Roman" w:hAnsi="Times New Roman" w:eastAsia="方正仿宋_GBK"/>
                <w:kern w:val="0"/>
                <w:sz w:val="24"/>
              </w:rPr>
              <w:t>—</w:t>
            </w:r>
          </w:p>
        </w:tc>
        <w:tc>
          <w:tcPr>
            <w:tcW w:w="907" w:type="dxa"/>
            <w:shd w:val="clear" w:color="auto" w:fill="auto"/>
            <w:noWrap/>
            <w:vAlign w:val="center"/>
          </w:tcPr>
          <w:p w14:paraId="79CF131B">
            <w:pPr>
              <w:widowControl/>
              <w:spacing w:line="280" w:lineRule="exact"/>
              <w:jc w:val="center"/>
              <w:rPr>
                <w:rFonts w:ascii="Times New Roman" w:hAnsi="Times New Roman" w:eastAsia="方正仿宋_GBK"/>
                <w:kern w:val="0"/>
                <w:sz w:val="24"/>
              </w:rPr>
            </w:pPr>
            <w:r>
              <w:rPr>
                <w:rFonts w:ascii="Times New Roman" w:hAnsi="Times New Roman" w:eastAsia="方正仿宋_GBK"/>
                <w:kern w:val="0"/>
                <w:sz w:val="24"/>
              </w:rPr>
              <w:t>约束性</w:t>
            </w:r>
          </w:p>
        </w:tc>
      </w:tr>
      <w:tr w14:paraId="42602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9" w:hRule="atLeast"/>
          <w:jc w:val="center"/>
        </w:trPr>
        <w:tc>
          <w:tcPr>
            <w:tcW w:w="3874" w:type="dxa"/>
            <w:shd w:val="clear" w:color="auto" w:fill="auto"/>
            <w:vAlign w:val="center"/>
          </w:tcPr>
          <w:p w14:paraId="18702F60">
            <w:pPr>
              <w:widowControl/>
              <w:spacing w:line="280" w:lineRule="exact"/>
              <w:rPr>
                <w:rFonts w:ascii="Times New Roman" w:hAnsi="Times New Roman" w:eastAsia="方正仿宋_GBK"/>
                <w:kern w:val="0"/>
                <w:sz w:val="24"/>
              </w:rPr>
            </w:pPr>
            <w:r>
              <w:rPr>
                <w:rFonts w:ascii="Times New Roman" w:hAnsi="Times New Roman" w:eastAsia="方正仿宋_GBK"/>
                <w:kern w:val="0"/>
                <w:sz w:val="24"/>
              </w:rPr>
              <w:t>万元GDP二氧化碳排放量（万吨）</w:t>
            </w:r>
          </w:p>
        </w:tc>
        <w:tc>
          <w:tcPr>
            <w:tcW w:w="1505" w:type="dxa"/>
            <w:shd w:val="clear" w:color="auto" w:fill="auto"/>
            <w:vAlign w:val="center"/>
          </w:tcPr>
          <w:p w14:paraId="3D6E462F">
            <w:pPr>
              <w:widowControl/>
              <w:spacing w:line="280" w:lineRule="exact"/>
              <w:jc w:val="center"/>
              <w:rPr>
                <w:rFonts w:ascii="Times New Roman" w:hAnsi="Times New Roman" w:eastAsia="方正仿宋_GBK"/>
                <w:kern w:val="0"/>
                <w:sz w:val="24"/>
              </w:rPr>
            </w:pPr>
            <w:r>
              <w:rPr>
                <w:rFonts w:ascii="Times New Roman" w:hAnsi="Times New Roman" w:eastAsia="方正仿宋_GBK"/>
                <w:kern w:val="0"/>
                <w:sz w:val="24"/>
              </w:rPr>
              <w:t>达到省控目标</w:t>
            </w:r>
          </w:p>
        </w:tc>
        <w:tc>
          <w:tcPr>
            <w:tcW w:w="1505" w:type="dxa"/>
            <w:shd w:val="clear" w:color="auto" w:fill="auto"/>
            <w:vAlign w:val="center"/>
          </w:tcPr>
          <w:p w14:paraId="6C2A8B10">
            <w:pPr>
              <w:widowControl/>
              <w:spacing w:line="280" w:lineRule="exact"/>
              <w:jc w:val="center"/>
              <w:rPr>
                <w:rFonts w:ascii="Times New Roman" w:hAnsi="Times New Roman" w:eastAsia="方正仿宋_GBK"/>
                <w:kern w:val="0"/>
                <w:sz w:val="24"/>
              </w:rPr>
            </w:pPr>
            <w:r>
              <w:rPr>
                <w:rFonts w:ascii="Times New Roman" w:hAnsi="Times New Roman" w:eastAsia="方正仿宋_GBK"/>
                <w:kern w:val="0"/>
                <w:sz w:val="24"/>
              </w:rPr>
              <w:t>达到省控目标</w:t>
            </w:r>
          </w:p>
        </w:tc>
        <w:tc>
          <w:tcPr>
            <w:tcW w:w="1012" w:type="dxa"/>
            <w:shd w:val="clear" w:color="auto" w:fill="auto"/>
            <w:vAlign w:val="center"/>
          </w:tcPr>
          <w:p w14:paraId="65DE38BF">
            <w:pPr>
              <w:widowControl/>
              <w:spacing w:line="280" w:lineRule="exact"/>
              <w:jc w:val="center"/>
              <w:rPr>
                <w:rFonts w:ascii="Times New Roman" w:hAnsi="Times New Roman" w:eastAsia="方正仿宋_GBK"/>
                <w:kern w:val="0"/>
                <w:sz w:val="24"/>
              </w:rPr>
            </w:pPr>
            <w:r>
              <w:rPr>
                <w:rFonts w:ascii="Times New Roman" w:hAnsi="Times New Roman" w:eastAsia="方正仿宋_GBK"/>
                <w:kern w:val="0"/>
                <w:sz w:val="24"/>
              </w:rPr>
              <w:t>—</w:t>
            </w:r>
          </w:p>
        </w:tc>
        <w:tc>
          <w:tcPr>
            <w:tcW w:w="907" w:type="dxa"/>
            <w:shd w:val="clear" w:color="auto" w:fill="auto"/>
            <w:noWrap/>
            <w:vAlign w:val="center"/>
          </w:tcPr>
          <w:p w14:paraId="15643BBA">
            <w:pPr>
              <w:widowControl/>
              <w:spacing w:line="280" w:lineRule="exact"/>
              <w:jc w:val="center"/>
              <w:rPr>
                <w:rFonts w:ascii="Times New Roman" w:hAnsi="Times New Roman" w:eastAsia="方正仿宋_GBK"/>
                <w:kern w:val="0"/>
                <w:sz w:val="24"/>
              </w:rPr>
            </w:pPr>
            <w:r>
              <w:rPr>
                <w:rFonts w:ascii="Times New Roman" w:hAnsi="Times New Roman" w:eastAsia="方正仿宋_GBK"/>
                <w:kern w:val="0"/>
                <w:sz w:val="24"/>
              </w:rPr>
              <w:t>约束性</w:t>
            </w:r>
          </w:p>
        </w:tc>
      </w:tr>
      <w:tr w14:paraId="71F89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9" w:hRule="atLeast"/>
          <w:jc w:val="center"/>
        </w:trPr>
        <w:tc>
          <w:tcPr>
            <w:tcW w:w="3874" w:type="dxa"/>
            <w:shd w:val="clear" w:color="auto" w:fill="auto"/>
            <w:vAlign w:val="center"/>
          </w:tcPr>
          <w:p w14:paraId="477BD12B">
            <w:pPr>
              <w:widowControl/>
              <w:spacing w:line="280" w:lineRule="exact"/>
              <w:rPr>
                <w:rFonts w:ascii="Times New Roman" w:hAnsi="Times New Roman" w:eastAsia="方正仿宋_GBK"/>
                <w:kern w:val="0"/>
                <w:sz w:val="24"/>
              </w:rPr>
            </w:pPr>
            <w:r>
              <w:rPr>
                <w:rFonts w:ascii="Times New Roman" w:hAnsi="Times New Roman" w:eastAsia="方正仿宋_GBK"/>
                <w:kern w:val="0"/>
                <w:sz w:val="24"/>
              </w:rPr>
              <w:t>森林覆盖率（%）</w:t>
            </w:r>
          </w:p>
        </w:tc>
        <w:tc>
          <w:tcPr>
            <w:tcW w:w="1505" w:type="dxa"/>
            <w:shd w:val="clear" w:color="auto" w:fill="auto"/>
            <w:vAlign w:val="center"/>
          </w:tcPr>
          <w:p w14:paraId="00998AD5">
            <w:pPr>
              <w:widowControl/>
              <w:spacing w:line="280" w:lineRule="exact"/>
              <w:jc w:val="center"/>
              <w:rPr>
                <w:rFonts w:ascii="Times New Roman" w:hAnsi="Times New Roman" w:eastAsia="方正仿宋_GBK"/>
                <w:kern w:val="0"/>
                <w:sz w:val="24"/>
              </w:rPr>
            </w:pPr>
            <w:r>
              <w:rPr>
                <w:rFonts w:ascii="Times New Roman" w:hAnsi="Times New Roman" w:eastAsia="方正仿宋_GBK"/>
                <w:kern w:val="0"/>
                <w:sz w:val="24"/>
              </w:rPr>
              <w:t>33.8</w:t>
            </w:r>
          </w:p>
        </w:tc>
        <w:tc>
          <w:tcPr>
            <w:tcW w:w="1505" w:type="dxa"/>
            <w:shd w:val="clear" w:color="auto" w:fill="auto"/>
            <w:vAlign w:val="center"/>
          </w:tcPr>
          <w:p w14:paraId="550F156B">
            <w:pPr>
              <w:widowControl/>
              <w:spacing w:line="280" w:lineRule="exact"/>
              <w:jc w:val="center"/>
              <w:rPr>
                <w:rFonts w:ascii="Times New Roman" w:hAnsi="Times New Roman" w:eastAsia="方正仿宋_GBK"/>
                <w:kern w:val="0"/>
                <w:sz w:val="24"/>
              </w:rPr>
            </w:pPr>
            <w:r>
              <w:rPr>
                <w:rFonts w:hint="eastAsia" w:ascii="Times New Roman" w:hAnsi="Times New Roman" w:eastAsia="方正仿宋_GBK"/>
                <w:kern w:val="0"/>
                <w:sz w:val="24"/>
              </w:rPr>
              <w:t>33.81</w:t>
            </w:r>
          </w:p>
        </w:tc>
        <w:tc>
          <w:tcPr>
            <w:tcW w:w="1012" w:type="dxa"/>
            <w:shd w:val="clear" w:color="auto" w:fill="auto"/>
            <w:vAlign w:val="center"/>
          </w:tcPr>
          <w:p w14:paraId="0E6F7482">
            <w:pPr>
              <w:widowControl/>
              <w:spacing w:line="280" w:lineRule="exact"/>
              <w:jc w:val="center"/>
              <w:rPr>
                <w:rFonts w:ascii="Times New Roman" w:hAnsi="Times New Roman" w:eastAsia="方正仿宋_GBK"/>
                <w:kern w:val="0"/>
                <w:sz w:val="24"/>
              </w:rPr>
            </w:pPr>
            <w:r>
              <w:rPr>
                <w:rFonts w:ascii="Times New Roman" w:hAnsi="Times New Roman" w:eastAsia="方正仿宋_GBK"/>
                <w:kern w:val="0"/>
                <w:sz w:val="24"/>
              </w:rPr>
              <w:t>—</w:t>
            </w:r>
          </w:p>
        </w:tc>
        <w:tc>
          <w:tcPr>
            <w:tcW w:w="907" w:type="dxa"/>
            <w:shd w:val="clear" w:color="auto" w:fill="auto"/>
            <w:noWrap/>
            <w:vAlign w:val="center"/>
          </w:tcPr>
          <w:p w14:paraId="5A1A33AA">
            <w:pPr>
              <w:widowControl/>
              <w:spacing w:line="280" w:lineRule="exact"/>
              <w:jc w:val="center"/>
              <w:rPr>
                <w:rFonts w:ascii="Times New Roman" w:hAnsi="Times New Roman" w:eastAsia="方正仿宋_GBK"/>
                <w:kern w:val="0"/>
                <w:sz w:val="24"/>
              </w:rPr>
            </w:pPr>
            <w:r>
              <w:rPr>
                <w:rFonts w:ascii="Times New Roman" w:hAnsi="Times New Roman" w:eastAsia="方正仿宋_GBK"/>
                <w:kern w:val="0"/>
                <w:sz w:val="24"/>
              </w:rPr>
              <w:t>约束性</w:t>
            </w:r>
          </w:p>
        </w:tc>
      </w:tr>
      <w:tr w14:paraId="54D06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9" w:hRule="atLeast"/>
          <w:jc w:val="center"/>
        </w:trPr>
        <w:tc>
          <w:tcPr>
            <w:tcW w:w="3874" w:type="dxa"/>
            <w:shd w:val="clear" w:color="auto" w:fill="auto"/>
            <w:vAlign w:val="center"/>
          </w:tcPr>
          <w:p w14:paraId="2C93082A">
            <w:pPr>
              <w:widowControl/>
              <w:spacing w:line="280" w:lineRule="exact"/>
              <w:rPr>
                <w:rFonts w:ascii="Times New Roman" w:hAnsi="Times New Roman" w:eastAsia="方正仿宋_GBK"/>
                <w:kern w:val="0"/>
                <w:sz w:val="24"/>
              </w:rPr>
            </w:pPr>
            <w:r>
              <w:rPr>
                <w:rFonts w:ascii="Times New Roman" w:hAnsi="Times New Roman" w:eastAsia="方正仿宋_GBK"/>
                <w:kern w:val="0"/>
                <w:sz w:val="24"/>
              </w:rPr>
              <w:t>生活垃圾资源化率（%）</w:t>
            </w:r>
          </w:p>
        </w:tc>
        <w:tc>
          <w:tcPr>
            <w:tcW w:w="1505" w:type="dxa"/>
            <w:shd w:val="clear" w:color="auto" w:fill="auto"/>
            <w:vAlign w:val="center"/>
          </w:tcPr>
          <w:p w14:paraId="5124C62F">
            <w:pPr>
              <w:widowControl/>
              <w:spacing w:line="280" w:lineRule="exact"/>
              <w:jc w:val="center"/>
              <w:rPr>
                <w:rFonts w:ascii="Times New Roman" w:hAnsi="Times New Roman" w:eastAsia="方正仿宋_GBK"/>
                <w:kern w:val="0"/>
                <w:sz w:val="24"/>
              </w:rPr>
            </w:pPr>
            <w:r>
              <w:rPr>
                <w:rFonts w:ascii="Times New Roman" w:hAnsi="Times New Roman" w:eastAsia="方正仿宋_GBK"/>
                <w:kern w:val="0"/>
                <w:sz w:val="24"/>
              </w:rPr>
              <w:t>50以上</w:t>
            </w:r>
          </w:p>
        </w:tc>
        <w:tc>
          <w:tcPr>
            <w:tcW w:w="1505" w:type="dxa"/>
            <w:shd w:val="clear" w:color="auto" w:fill="auto"/>
            <w:vAlign w:val="center"/>
          </w:tcPr>
          <w:p w14:paraId="41803D61">
            <w:pPr>
              <w:widowControl/>
              <w:spacing w:line="280" w:lineRule="exact"/>
              <w:jc w:val="center"/>
              <w:rPr>
                <w:rFonts w:ascii="Times New Roman" w:hAnsi="Times New Roman" w:eastAsia="方正仿宋_GBK"/>
                <w:kern w:val="0"/>
                <w:sz w:val="24"/>
              </w:rPr>
            </w:pPr>
            <w:r>
              <w:rPr>
                <w:rFonts w:ascii="Times New Roman" w:hAnsi="Times New Roman" w:eastAsia="方正仿宋_GBK"/>
                <w:kern w:val="0"/>
                <w:sz w:val="24"/>
              </w:rPr>
              <w:t>100</w:t>
            </w:r>
          </w:p>
        </w:tc>
        <w:tc>
          <w:tcPr>
            <w:tcW w:w="1012" w:type="dxa"/>
            <w:shd w:val="clear" w:color="auto" w:fill="auto"/>
            <w:vAlign w:val="center"/>
          </w:tcPr>
          <w:p w14:paraId="2D82B4B3">
            <w:pPr>
              <w:widowControl/>
              <w:spacing w:line="280" w:lineRule="exact"/>
              <w:jc w:val="center"/>
              <w:rPr>
                <w:rFonts w:ascii="Times New Roman" w:hAnsi="Times New Roman" w:eastAsia="方正仿宋_GBK"/>
                <w:kern w:val="0"/>
                <w:sz w:val="24"/>
              </w:rPr>
            </w:pPr>
            <w:r>
              <w:rPr>
                <w:rFonts w:ascii="Times New Roman" w:hAnsi="Times New Roman" w:eastAsia="方正仿宋_GBK"/>
                <w:kern w:val="0"/>
                <w:sz w:val="24"/>
              </w:rPr>
              <w:t>—</w:t>
            </w:r>
          </w:p>
        </w:tc>
        <w:tc>
          <w:tcPr>
            <w:tcW w:w="907" w:type="dxa"/>
            <w:shd w:val="clear" w:color="auto" w:fill="auto"/>
            <w:noWrap/>
          </w:tcPr>
          <w:p w14:paraId="53B30F97">
            <w:pPr>
              <w:rPr>
                <w:rFonts w:ascii="Times New Roman" w:hAnsi="Times New Roman"/>
              </w:rPr>
            </w:pPr>
            <w:r>
              <w:rPr>
                <w:rFonts w:ascii="Times New Roman" w:hAnsi="Times New Roman" w:eastAsia="方正仿宋_GBK"/>
                <w:kern w:val="0"/>
                <w:sz w:val="24"/>
              </w:rPr>
              <w:t>约束性</w:t>
            </w:r>
          </w:p>
        </w:tc>
      </w:tr>
      <w:tr w14:paraId="516E0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9" w:hRule="atLeast"/>
          <w:jc w:val="center"/>
        </w:trPr>
        <w:tc>
          <w:tcPr>
            <w:tcW w:w="3874" w:type="dxa"/>
            <w:shd w:val="clear" w:color="auto" w:fill="auto"/>
            <w:vAlign w:val="center"/>
          </w:tcPr>
          <w:p w14:paraId="0AE92222">
            <w:pPr>
              <w:widowControl/>
              <w:spacing w:line="280" w:lineRule="exact"/>
              <w:rPr>
                <w:rFonts w:ascii="Times New Roman" w:hAnsi="Times New Roman" w:eastAsia="方正仿宋_GBK"/>
                <w:kern w:val="0"/>
                <w:sz w:val="24"/>
              </w:rPr>
            </w:pPr>
            <w:r>
              <w:rPr>
                <w:rFonts w:ascii="Times New Roman" w:hAnsi="Times New Roman" w:eastAsia="方正仿宋_GBK"/>
                <w:kern w:val="0"/>
                <w:sz w:val="24"/>
              </w:rPr>
              <w:t>城镇生活污水处理率（%）</w:t>
            </w:r>
          </w:p>
        </w:tc>
        <w:tc>
          <w:tcPr>
            <w:tcW w:w="1505" w:type="dxa"/>
            <w:shd w:val="clear" w:color="auto" w:fill="auto"/>
            <w:vAlign w:val="center"/>
          </w:tcPr>
          <w:p w14:paraId="7142E62B">
            <w:pPr>
              <w:widowControl/>
              <w:spacing w:line="280" w:lineRule="exact"/>
              <w:jc w:val="center"/>
              <w:rPr>
                <w:rFonts w:ascii="Times New Roman" w:hAnsi="Times New Roman" w:eastAsia="方正仿宋_GBK"/>
                <w:kern w:val="0"/>
                <w:sz w:val="24"/>
              </w:rPr>
            </w:pPr>
            <w:r>
              <w:rPr>
                <w:rFonts w:ascii="Times New Roman" w:hAnsi="Times New Roman" w:eastAsia="方正仿宋_GBK"/>
                <w:kern w:val="0"/>
                <w:sz w:val="24"/>
              </w:rPr>
              <w:t>90</w:t>
            </w:r>
          </w:p>
        </w:tc>
        <w:tc>
          <w:tcPr>
            <w:tcW w:w="1505" w:type="dxa"/>
            <w:shd w:val="clear" w:color="auto" w:fill="auto"/>
            <w:vAlign w:val="center"/>
          </w:tcPr>
          <w:p w14:paraId="1912607E">
            <w:pPr>
              <w:widowControl/>
              <w:spacing w:line="280" w:lineRule="exact"/>
              <w:jc w:val="center"/>
              <w:rPr>
                <w:rFonts w:ascii="Times New Roman" w:hAnsi="Times New Roman" w:eastAsia="方正仿宋_GBK"/>
                <w:kern w:val="0"/>
                <w:sz w:val="24"/>
              </w:rPr>
            </w:pPr>
            <w:r>
              <w:rPr>
                <w:rFonts w:ascii="Times New Roman" w:hAnsi="Times New Roman" w:eastAsia="方正仿宋_GBK"/>
                <w:kern w:val="0"/>
                <w:sz w:val="24"/>
              </w:rPr>
              <w:t>96.27</w:t>
            </w:r>
          </w:p>
        </w:tc>
        <w:tc>
          <w:tcPr>
            <w:tcW w:w="1012" w:type="dxa"/>
            <w:shd w:val="clear" w:color="auto" w:fill="auto"/>
            <w:vAlign w:val="center"/>
          </w:tcPr>
          <w:p w14:paraId="15E02F29">
            <w:pPr>
              <w:widowControl/>
              <w:spacing w:line="280" w:lineRule="exact"/>
              <w:jc w:val="center"/>
              <w:rPr>
                <w:rFonts w:ascii="Times New Roman" w:hAnsi="Times New Roman" w:eastAsia="方正仿宋_GBK"/>
                <w:kern w:val="0"/>
                <w:sz w:val="24"/>
              </w:rPr>
            </w:pPr>
            <w:r>
              <w:rPr>
                <w:rFonts w:ascii="Times New Roman" w:hAnsi="Times New Roman" w:eastAsia="方正仿宋_GBK"/>
                <w:kern w:val="0"/>
                <w:sz w:val="24"/>
              </w:rPr>
              <w:t>—</w:t>
            </w:r>
          </w:p>
        </w:tc>
        <w:tc>
          <w:tcPr>
            <w:tcW w:w="907" w:type="dxa"/>
            <w:shd w:val="clear" w:color="auto" w:fill="auto"/>
            <w:noWrap/>
          </w:tcPr>
          <w:p w14:paraId="56307E26">
            <w:pPr>
              <w:rPr>
                <w:rFonts w:ascii="Times New Roman" w:hAnsi="Times New Roman"/>
              </w:rPr>
            </w:pPr>
            <w:r>
              <w:rPr>
                <w:rFonts w:ascii="Times New Roman" w:hAnsi="Times New Roman" w:eastAsia="方正仿宋_GBK"/>
                <w:kern w:val="0"/>
                <w:sz w:val="24"/>
              </w:rPr>
              <w:t>约束性</w:t>
            </w:r>
          </w:p>
        </w:tc>
      </w:tr>
      <w:tr w14:paraId="410F3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9" w:hRule="atLeast"/>
          <w:jc w:val="center"/>
        </w:trPr>
        <w:tc>
          <w:tcPr>
            <w:tcW w:w="3874" w:type="dxa"/>
            <w:shd w:val="clear" w:color="auto" w:fill="auto"/>
            <w:vAlign w:val="center"/>
          </w:tcPr>
          <w:p w14:paraId="1141A386">
            <w:pPr>
              <w:widowControl/>
              <w:spacing w:line="280" w:lineRule="exact"/>
              <w:rPr>
                <w:rFonts w:ascii="Times New Roman" w:hAnsi="Times New Roman" w:eastAsia="方正仿宋_GBK"/>
                <w:kern w:val="0"/>
                <w:sz w:val="24"/>
              </w:rPr>
            </w:pPr>
            <w:r>
              <w:rPr>
                <w:rFonts w:ascii="Times New Roman" w:hAnsi="Times New Roman" w:eastAsia="方正仿宋_GBK"/>
                <w:kern w:val="0"/>
                <w:sz w:val="24"/>
              </w:rPr>
              <w:t>美丽乡村建设达标率（%）</w:t>
            </w:r>
          </w:p>
        </w:tc>
        <w:tc>
          <w:tcPr>
            <w:tcW w:w="1505" w:type="dxa"/>
            <w:shd w:val="clear" w:color="auto" w:fill="auto"/>
            <w:vAlign w:val="center"/>
          </w:tcPr>
          <w:p w14:paraId="2D699B4A">
            <w:pPr>
              <w:widowControl/>
              <w:spacing w:line="280" w:lineRule="exact"/>
              <w:jc w:val="center"/>
              <w:rPr>
                <w:rFonts w:ascii="Times New Roman" w:hAnsi="Times New Roman" w:eastAsia="方正仿宋_GBK"/>
                <w:kern w:val="0"/>
                <w:sz w:val="24"/>
              </w:rPr>
            </w:pPr>
            <w:r>
              <w:rPr>
                <w:rFonts w:ascii="Times New Roman" w:hAnsi="Times New Roman" w:eastAsia="方正仿宋_GBK"/>
                <w:kern w:val="0"/>
                <w:sz w:val="24"/>
              </w:rPr>
              <w:t>80</w:t>
            </w:r>
          </w:p>
        </w:tc>
        <w:tc>
          <w:tcPr>
            <w:tcW w:w="1505" w:type="dxa"/>
            <w:shd w:val="clear" w:color="auto" w:fill="auto"/>
            <w:vAlign w:val="center"/>
          </w:tcPr>
          <w:p w14:paraId="1418CAF2">
            <w:pPr>
              <w:widowControl/>
              <w:spacing w:line="280" w:lineRule="exact"/>
              <w:jc w:val="center"/>
              <w:rPr>
                <w:rFonts w:ascii="Times New Roman" w:hAnsi="Times New Roman" w:eastAsia="方正仿宋_GBK"/>
                <w:kern w:val="0"/>
                <w:sz w:val="24"/>
              </w:rPr>
            </w:pPr>
            <w:r>
              <w:rPr>
                <w:rFonts w:ascii="Times New Roman" w:hAnsi="Times New Roman" w:eastAsia="方正仿宋_GBK"/>
                <w:kern w:val="0"/>
                <w:sz w:val="24"/>
              </w:rPr>
              <w:t>80</w:t>
            </w:r>
          </w:p>
        </w:tc>
        <w:tc>
          <w:tcPr>
            <w:tcW w:w="1012" w:type="dxa"/>
            <w:shd w:val="clear" w:color="auto" w:fill="auto"/>
            <w:vAlign w:val="center"/>
          </w:tcPr>
          <w:p w14:paraId="1A3163C4">
            <w:pPr>
              <w:widowControl/>
              <w:spacing w:line="280" w:lineRule="exact"/>
              <w:jc w:val="center"/>
              <w:rPr>
                <w:rFonts w:ascii="Times New Roman" w:hAnsi="Times New Roman" w:eastAsia="方正仿宋_GBK"/>
                <w:kern w:val="0"/>
                <w:sz w:val="24"/>
              </w:rPr>
            </w:pPr>
            <w:r>
              <w:rPr>
                <w:rFonts w:ascii="Times New Roman" w:hAnsi="Times New Roman" w:eastAsia="方正仿宋_GBK"/>
                <w:kern w:val="0"/>
                <w:sz w:val="24"/>
              </w:rPr>
              <w:t>—</w:t>
            </w:r>
          </w:p>
        </w:tc>
        <w:tc>
          <w:tcPr>
            <w:tcW w:w="907" w:type="dxa"/>
            <w:shd w:val="clear" w:color="auto" w:fill="auto"/>
            <w:noWrap/>
          </w:tcPr>
          <w:p w14:paraId="505C98F0">
            <w:pPr>
              <w:rPr>
                <w:rFonts w:ascii="Times New Roman" w:hAnsi="Times New Roman"/>
              </w:rPr>
            </w:pPr>
            <w:r>
              <w:rPr>
                <w:rFonts w:ascii="Times New Roman" w:hAnsi="Times New Roman" w:eastAsia="方正仿宋_GBK"/>
                <w:kern w:val="0"/>
                <w:sz w:val="24"/>
              </w:rPr>
              <w:t>约束性</w:t>
            </w:r>
          </w:p>
        </w:tc>
      </w:tr>
      <w:tr w14:paraId="5C55B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9" w:hRule="atLeast"/>
          <w:jc w:val="center"/>
        </w:trPr>
        <w:tc>
          <w:tcPr>
            <w:tcW w:w="8803" w:type="dxa"/>
            <w:gridSpan w:val="5"/>
            <w:shd w:val="clear" w:color="auto" w:fill="auto"/>
            <w:vAlign w:val="center"/>
          </w:tcPr>
          <w:p w14:paraId="10AD0112">
            <w:pPr>
              <w:widowControl/>
              <w:spacing w:line="280" w:lineRule="exact"/>
              <w:rPr>
                <w:rFonts w:ascii="Times New Roman" w:hAnsi="Times New Roman" w:eastAsia="方正楷体_GBK"/>
                <w:bCs/>
                <w:kern w:val="0"/>
                <w:sz w:val="24"/>
              </w:rPr>
            </w:pPr>
            <w:r>
              <w:rPr>
                <w:rFonts w:ascii="Times New Roman" w:hAnsi="Times New Roman" w:eastAsia="方正楷体_GBK"/>
                <w:bCs/>
                <w:kern w:val="0"/>
                <w:sz w:val="24"/>
              </w:rPr>
              <w:t>五、社会发展</w:t>
            </w:r>
          </w:p>
        </w:tc>
      </w:tr>
      <w:tr w14:paraId="7DA1E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9" w:hRule="atLeast"/>
          <w:jc w:val="center"/>
        </w:trPr>
        <w:tc>
          <w:tcPr>
            <w:tcW w:w="3874" w:type="dxa"/>
            <w:shd w:val="clear" w:color="auto" w:fill="auto"/>
            <w:vAlign w:val="center"/>
          </w:tcPr>
          <w:p w14:paraId="656BB04A">
            <w:pPr>
              <w:widowControl/>
              <w:spacing w:line="280" w:lineRule="exact"/>
              <w:rPr>
                <w:rFonts w:ascii="Times New Roman" w:hAnsi="Times New Roman" w:eastAsia="方正仿宋_GBK"/>
                <w:kern w:val="0"/>
                <w:sz w:val="24"/>
              </w:rPr>
            </w:pPr>
            <w:r>
              <w:rPr>
                <w:rFonts w:ascii="Times New Roman" w:hAnsi="Times New Roman" w:eastAsia="方正仿宋_GBK"/>
                <w:kern w:val="0"/>
                <w:sz w:val="24"/>
              </w:rPr>
              <w:t>城</w:t>
            </w:r>
            <w:r>
              <w:rPr>
                <w:rFonts w:hint="eastAsia" w:ascii="Times New Roman" w:hAnsi="Times New Roman" w:eastAsia="方正仿宋_GBK"/>
                <w:kern w:val="0"/>
                <w:sz w:val="24"/>
                <w:lang w:val="en-US" w:eastAsia="zh-CN"/>
              </w:rPr>
              <w:t>镇</w:t>
            </w:r>
            <w:r>
              <w:rPr>
                <w:rFonts w:ascii="Times New Roman" w:hAnsi="Times New Roman" w:eastAsia="方正仿宋_GBK"/>
                <w:kern w:val="0"/>
                <w:sz w:val="24"/>
              </w:rPr>
              <w:t>登记失业率（%）</w:t>
            </w:r>
          </w:p>
        </w:tc>
        <w:tc>
          <w:tcPr>
            <w:tcW w:w="1505" w:type="dxa"/>
            <w:shd w:val="clear" w:color="auto" w:fill="auto"/>
            <w:vAlign w:val="center"/>
          </w:tcPr>
          <w:p w14:paraId="4A3D1A82">
            <w:pPr>
              <w:widowControl/>
              <w:spacing w:line="280" w:lineRule="exact"/>
              <w:jc w:val="center"/>
              <w:rPr>
                <w:rFonts w:ascii="Times New Roman" w:hAnsi="Times New Roman" w:eastAsia="方正仿宋_GBK"/>
                <w:kern w:val="0"/>
                <w:sz w:val="24"/>
              </w:rPr>
            </w:pPr>
            <w:r>
              <w:rPr>
                <w:rFonts w:ascii="Times New Roman" w:hAnsi="Times New Roman" w:eastAsia="方正仿宋_GBK"/>
                <w:kern w:val="0"/>
                <w:sz w:val="24"/>
              </w:rPr>
              <w:t>4</w:t>
            </w:r>
          </w:p>
        </w:tc>
        <w:tc>
          <w:tcPr>
            <w:tcW w:w="1505" w:type="dxa"/>
            <w:shd w:val="clear" w:color="auto" w:fill="auto"/>
            <w:vAlign w:val="center"/>
          </w:tcPr>
          <w:p w14:paraId="0B670116">
            <w:pPr>
              <w:widowControl/>
              <w:spacing w:line="280" w:lineRule="exact"/>
              <w:jc w:val="center"/>
              <w:rPr>
                <w:rFonts w:hint="default" w:ascii="Times New Roman" w:hAnsi="Times New Roman" w:eastAsia="方正仿宋_GBK"/>
                <w:kern w:val="0"/>
                <w:sz w:val="24"/>
                <w:lang w:val="en-US" w:eastAsia="zh-CN"/>
              </w:rPr>
            </w:pPr>
            <w:r>
              <w:rPr>
                <w:rFonts w:hint="eastAsia" w:ascii="Times New Roman" w:hAnsi="Times New Roman" w:eastAsia="方正仿宋_GBK"/>
                <w:kern w:val="0"/>
                <w:sz w:val="24"/>
                <w:lang w:val="en-US" w:eastAsia="zh-CN"/>
              </w:rPr>
              <w:t>3.82</w:t>
            </w:r>
          </w:p>
        </w:tc>
        <w:tc>
          <w:tcPr>
            <w:tcW w:w="1012" w:type="dxa"/>
            <w:shd w:val="clear" w:color="auto" w:fill="auto"/>
            <w:vAlign w:val="center"/>
          </w:tcPr>
          <w:p w14:paraId="5ABCCD37">
            <w:pPr>
              <w:widowControl/>
              <w:spacing w:line="280" w:lineRule="exact"/>
              <w:jc w:val="center"/>
              <w:rPr>
                <w:rFonts w:ascii="Times New Roman" w:hAnsi="Times New Roman" w:eastAsia="方正仿宋_GBK"/>
                <w:kern w:val="0"/>
                <w:sz w:val="24"/>
              </w:rPr>
            </w:pPr>
            <w:r>
              <w:rPr>
                <w:rFonts w:ascii="Times New Roman" w:hAnsi="Times New Roman" w:eastAsia="方正仿宋_GBK"/>
                <w:kern w:val="0"/>
                <w:sz w:val="24"/>
              </w:rPr>
              <w:t>—</w:t>
            </w:r>
          </w:p>
        </w:tc>
        <w:tc>
          <w:tcPr>
            <w:tcW w:w="907" w:type="dxa"/>
            <w:shd w:val="clear" w:color="auto" w:fill="auto"/>
            <w:noWrap/>
            <w:vAlign w:val="center"/>
          </w:tcPr>
          <w:p w14:paraId="2FB8F6D0">
            <w:pPr>
              <w:widowControl/>
              <w:spacing w:line="280" w:lineRule="exact"/>
              <w:jc w:val="center"/>
              <w:rPr>
                <w:rFonts w:ascii="Times New Roman" w:hAnsi="Times New Roman" w:eastAsia="方正仿宋_GBK"/>
                <w:kern w:val="0"/>
                <w:sz w:val="24"/>
              </w:rPr>
            </w:pPr>
            <w:r>
              <w:rPr>
                <w:rFonts w:ascii="Times New Roman" w:hAnsi="Times New Roman" w:eastAsia="方正仿宋_GBK"/>
                <w:kern w:val="0"/>
                <w:sz w:val="24"/>
              </w:rPr>
              <w:t>预期性</w:t>
            </w:r>
          </w:p>
        </w:tc>
      </w:tr>
      <w:tr w14:paraId="40644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9" w:hRule="atLeast"/>
          <w:jc w:val="center"/>
        </w:trPr>
        <w:tc>
          <w:tcPr>
            <w:tcW w:w="3874" w:type="dxa"/>
            <w:shd w:val="clear" w:color="auto" w:fill="auto"/>
            <w:vAlign w:val="center"/>
          </w:tcPr>
          <w:p w14:paraId="4BF46B58">
            <w:pPr>
              <w:widowControl/>
              <w:spacing w:line="280" w:lineRule="exact"/>
              <w:rPr>
                <w:rFonts w:ascii="Times New Roman" w:hAnsi="Times New Roman" w:eastAsia="方正仿宋_GBK"/>
                <w:kern w:val="0"/>
                <w:sz w:val="24"/>
              </w:rPr>
            </w:pPr>
            <w:r>
              <w:rPr>
                <w:rFonts w:ascii="Times New Roman" w:hAnsi="Times New Roman" w:eastAsia="方正仿宋_GBK"/>
                <w:kern w:val="0"/>
                <w:sz w:val="24"/>
              </w:rPr>
              <w:t>高中阶段毛入学率（%）</w:t>
            </w:r>
          </w:p>
        </w:tc>
        <w:tc>
          <w:tcPr>
            <w:tcW w:w="1505" w:type="dxa"/>
            <w:shd w:val="clear" w:color="auto" w:fill="auto"/>
            <w:vAlign w:val="center"/>
          </w:tcPr>
          <w:p w14:paraId="4E6F1111">
            <w:pPr>
              <w:widowControl/>
              <w:spacing w:line="280" w:lineRule="exact"/>
              <w:jc w:val="center"/>
              <w:rPr>
                <w:rFonts w:hint="eastAsia" w:ascii="Times New Roman" w:hAnsi="Times New Roman" w:eastAsia="方正仿宋_GBK"/>
                <w:kern w:val="0"/>
                <w:sz w:val="24"/>
                <w:lang w:eastAsia="zh-CN"/>
              </w:rPr>
            </w:pPr>
            <w:r>
              <w:rPr>
                <w:rFonts w:ascii="Times New Roman" w:hAnsi="Times New Roman" w:eastAsia="方正仿宋_GBK"/>
                <w:kern w:val="0"/>
                <w:sz w:val="24"/>
              </w:rPr>
              <w:t>99.</w:t>
            </w:r>
            <w:r>
              <w:rPr>
                <w:rFonts w:hint="eastAsia" w:ascii="Times New Roman" w:hAnsi="Times New Roman" w:eastAsia="方正仿宋_GBK"/>
                <w:kern w:val="0"/>
                <w:sz w:val="24"/>
                <w:lang w:val="en-US" w:eastAsia="zh-CN"/>
              </w:rPr>
              <w:t>8</w:t>
            </w:r>
          </w:p>
        </w:tc>
        <w:tc>
          <w:tcPr>
            <w:tcW w:w="1505" w:type="dxa"/>
            <w:shd w:val="clear" w:color="auto" w:fill="auto"/>
            <w:vAlign w:val="center"/>
          </w:tcPr>
          <w:p w14:paraId="6377C38B">
            <w:pPr>
              <w:widowControl/>
              <w:spacing w:line="280" w:lineRule="exact"/>
              <w:jc w:val="center"/>
              <w:rPr>
                <w:rFonts w:hint="eastAsia" w:ascii="Times New Roman" w:hAnsi="Times New Roman" w:eastAsia="方正仿宋_GBK"/>
                <w:kern w:val="0"/>
                <w:sz w:val="24"/>
                <w:lang w:eastAsia="zh-CN"/>
              </w:rPr>
            </w:pPr>
            <w:r>
              <w:rPr>
                <w:rFonts w:ascii="Times New Roman" w:hAnsi="Times New Roman" w:eastAsia="方正仿宋_GBK"/>
                <w:kern w:val="0"/>
                <w:sz w:val="24"/>
              </w:rPr>
              <w:t>99.</w:t>
            </w:r>
            <w:r>
              <w:rPr>
                <w:rFonts w:hint="eastAsia" w:ascii="Times New Roman" w:hAnsi="Times New Roman" w:eastAsia="方正仿宋_GBK"/>
                <w:kern w:val="0"/>
                <w:sz w:val="24"/>
                <w:lang w:val="en-US" w:eastAsia="zh-CN"/>
              </w:rPr>
              <w:t>8</w:t>
            </w:r>
          </w:p>
        </w:tc>
        <w:tc>
          <w:tcPr>
            <w:tcW w:w="1012" w:type="dxa"/>
            <w:shd w:val="clear" w:color="auto" w:fill="auto"/>
            <w:vAlign w:val="center"/>
          </w:tcPr>
          <w:p w14:paraId="72FC2D74">
            <w:pPr>
              <w:widowControl/>
              <w:spacing w:line="280" w:lineRule="exact"/>
              <w:jc w:val="center"/>
              <w:rPr>
                <w:rFonts w:ascii="Times New Roman" w:hAnsi="Times New Roman" w:eastAsia="方正仿宋_GBK"/>
                <w:kern w:val="0"/>
                <w:sz w:val="24"/>
              </w:rPr>
            </w:pPr>
            <w:r>
              <w:rPr>
                <w:rFonts w:ascii="Times New Roman" w:hAnsi="Times New Roman" w:eastAsia="方正仿宋_GBK"/>
                <w:kern w:val="0"/>
                <w:sz w:val="24"/>
              </w:rPr>
              <w:t>—</w:t>
            </w:r>
          </w:p>
        </w:tc>
        <w:tc>
          <w:tcPr>
            <w:tcW w:w="907" w:type="dxa"/>
            <w:shd w:val="clear" w:color="auto" w:fill="auto"/>
            <w:noWrap/>
            <w:vAlign w:val="center"/>
          </w:tcPr>
          <w:p w14:paraId="38405612">
            <w:pPr>
              <w:widowControl/>
              <w:spacing w:line="280" w:lineRule="exact"/>
              <w:jc w:val="center"/>
              <w:rPr>
                <w:rFonts w:ascii="Times New Roman" w:hAnsi="Times New Roman" w:eastAsia="方正仿宋_GBK"/>
                <w:kern w:val="0"/>
                <w:sz w:val="24"/>
              </w:rPr>
            </w:pPr>
            <w:r>
              <w:rPr>
                <w:rFonts w:ascii="Times New Roman" w:hAnsi="Times New Roman" w:eastAsia="方正仿宋_GBK"/>
                <w:kern w:val="0"/>
                <w:sz w:val="24"/>
              </w:rPr>
              <w:t>预期性</w:t>
            </w:r>
          </w:p>
        </w:tc>
      </w:tr>
      <w:tr w14:paraId="60C35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9" w:hRule="atLeast"/>
          <w:jc w:val="center"/>
        </w:trPr>
        <w:tc>
          <w:tcPr>
            <w:tcW w:w="3874" w:type="dxa"/>
            <w:shd w:val="clear" w:color="auto" w:fill="auto"/>
            <w:vAlign w:val="center"/>
          </w:tcPr>
          <w:p w14:paraId="53BD4F8D">
            <w:pPr>
              <w:widowControl/>
              <w:spacing w:line="280" w:lineRule="exact"/>
              <w:rPr>
                <w:rFonts w:ascii="Times New Roman" w:hAnsi="Times New Roman" w:eastAsia="方正仿宋_GBK"/>
                <w:kern w:val="0"/>
                <w:sz w:val="24"/>
              </w:rPr>
            </w:pPr>
            <w:r>
              <w:rPr>
                <w:rFonts w:ascii="Times New Roman" w:hAnsi="Times New Roman" w:eastAsia="方正仿宋_GBK"/>
                <w:kern w:val="0"/>
                <w:sz w:val="24"/>
              </w:rPr>
              <w:t>城镇基本养老保险参保率（%）</w:t>
            </w:r>
          </w:p>
        </w:tc>
        <w:tc>
          <w:tcPr>
            <w:tcW w:w="1505" w:type="dxa"/>
            <w:shd w:val="clear" w:color="auto" w:fill="auto"/>
            <w:vAlign w:val="center"/>
          </w:tcPr>
          <w:p w14:paraId="37B4BCFC">
            <w:pPr>
              <w:widowControl/>
              <w:spacing w:line="280" w:lineRule="exact"/>
              <w:jc w:val="center"/>
              <w:rPr>
                <w:rFonts w:ascii="Times New Roman" w:hAnsi="Times New Roman" w:eastAsia="方正仿宋_GBK"/>
                <w:kern w:val="0"/>
                <w:sz w:val="24"/>
              </w:rPr>
            </w:pPr>
            <w:r>
              <w:rPr>
                <w:rFonts w:ascii="Times New Roman" w:hAnsi="Times New Roman" w:eastAsia="方正仿宋_GBK"/>
                <w:kern w:val="0"/>
                <w:sz w:val="24"/>
              </w:rPr>
              <w:t>80</w:t>
            </w:r>
          </w:p>
        </w:tc>
        <w:tc>
          <w:tcPr>
            <w:tcW w:w="1505" w:type="dxa"/>
            <w:shd w:val="clear" w:color="auto" w:fill="auto"/>
            <w:vAlign w:val="center"/>
          </w:tcPr>
          <w:p w14:paraId="02BFFD45">
            <w:pPr>
              <w:widowControl/>
              <w:spacing w:line="280" w:lineRule="exact"/>
              <w:jc w:val="center"/>
              <w:rPr>
                <w:rFonts w:ascii="Times New Roman" w:hAnsi="Times New Roman" w:eastAsia="方正仿宋_GBK"/>
                <w:kern w:val="0"/>
                <w:sz w:val="24"/>
              </w:rPr>
            </w:pPr>
            <w:r>
              <w:rPr>
                <w:rFonts w:hint="eastAsia" w:ascii="Times New Roman" w:hAnsi="Times New Roman" w:eastAsia="方正仿宋_GBK"/>
                <w:kern w:val="0"/>
                <w:sz w:val="24"/>
              </w:rPr>
              <w:t>应保尽保</w:t>
            </w:r>
          </w:p>
        </w:tc>
        <w:tc>
          <w:tcPr>
            <w:tcW w:w="1012" w:type="dxa"/>
            <w:shd w:val="clear" w:color="auto" w:fill="auto"/>
            <w:vAlign w:val="center"/>
          </w:tcPr>
          <w:p w14:paraId="7C916E6E">
            <w:pPr>
              <w:widowControl/>
              <w:spacing w:line="280" w:lineRule="exact"/>
              <w:jc w:val="center"/>
              <w:rPr>
                <w:rFonts w:ascii="Times New Roman" w:hAnsi="Times New Roman" w:eastAsia="方正仿宋_GBK"/>
                <w:kern w:val="0"/>
                <w:sz w:val="24"/>
              </w:rPr>
            </w:pPr>
            <w:r>
              <w:rPr>
                <w:rFonts w:ascii="Times New Roman" w:hAnsi="Times New Roman" w:eastAsia="方正仿宋_GBK"/>
                <w:kern w:val="0"/>
                <w:sz w:val="24"/>
              </w:rPr>
              <w:t>—</w:t>
            </w:r>
          </w:p>
        </w:tc>
        <w:tc>
          <w:tcPr>
            <w:tcW w:w="907" w:type="dxa"/>
            <w:shd w:val="clear" w:color="auto" w:fill="auto"/>
            <w:noWrap/>
            <w:vAlign w:val="center"/>
          </w:tcPr>
          <w:p w14:paraId="6494397E">
            <w:pPr>
              <w:widowControl/>
              <w:spacing w:line="280" w:lineRule="exact"/>
              <w:jc w:val="center"/>
              <w:rPr>
                <w:rFonts w:ascii="Times New Roman" w:hAnsi="Times New Roman" w:eastAsia="方正仿宋_GBK"/>
                <w:kern w:val="0"/>
                <w:sz w:val="24"/>
              </w:rPr>
            </w:pPr>
            <w:r>
              <w:rPr>
                <w:rFonts w:ascii="Times New Roman" w:hAnsi="Times New Roman" w:eastAsia="方正仿宋_GBK"/>
                <w:kern w:val="0"/>
                <w:sz w:val="24"/>
              </w:rPr>
              <w:t>约束性</w:t>
            </w:r>
          </w:p>
        </w:tc>
      </w:tr>
      <w:tr w14:paraId="12249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9" w:hRule="atLeast"/>
          <w:jc w:val="center"/>
        </w:trPr>
        <w:tc>
          <w:tcPr>
            <w:tcW w:w="3874" w:type="dxa"/>
            <w:shd w:val="clear" w:color="auto" w:fill="auto"/>
            <w:vAlign w:val="center"/>
          </w:tcPr>
          <w:p w14:paraId="35C1D5CB">
            <w:pPr>
              <w:widowControl/>
              <w:spacing w:line="280" w:lineRule="exact"/>
              <w:rPr>
                <w:rFonts w:ascii="Times New Roman" w:hAnsi="Times New Roman" w:eastAsia="方正仿宋_GBK"/>
                <w:kern w:val="0"/>
                <w:sz w:val="24"/>
              </w:rPr>
            </w:pPr>
            <w:r>
              <w:rPr>
                <w:rFonts w:ascii="Times New Roman" w:hAnsi="Times New Roman" w:eastAsia="方正仿宋_GBK"/>
                <w:kern w:val="0"/>
                <w:sz w:val="24"/>
              </w:rPr>
              <w:t>农村养老保险参保率（%）</w:t>
            </w:r>
          </w:p>
        </w:tc>
        <w:tc>
          <w:tcPr>
            <w:tcW w:w="1505" w:type="dxa"/>
            <w:shd w:val="clear" w:color="auto" w:fill="auto"/>
            <w:vAlign w:val="center"/>
          </w:tcPr>
          <w:p w14:paraId="59D37EFF">
            <w:pPr>
              <w:widowControl/>
              <w:spacing w:line="280" w:lineRule="exact"/>
              <w:jc w:val="center"/>
              <w:rPr>
                <w:rFonts w:ascii="Times New Roman" w:hAnsi="Times New Roman" w:eastAsia="方正仿宋_GBK"/>
                <w:kern w:val="0"/>
                <w:sz w:val="24"/>
              </w:rPr>
            </w:pPr>
            <w:r>
              <w:rPr>
                <w:rFonts w:ascii="Times New Roman" w:hAnsi="Times New Roman" w:eastAsia="方正仿宋_GBK"/>
                <w:kern w:val="0"/>
                <w:sz w:val="24"/>
              </w:rPr>
              <w:t>85</w:t>
            </w:r>
          </w:p>
        </w:tc>
        <w:tc>
          <w:tcPr>
            <w:tcW w:w="1505" w:type="dxa"/>
            <w:shd w:val="clear" w:color="auto" w:fill="auto"/>
            <w:vAlign w:val="center"/>
          </w:tcPr>
          <w:p w14:paraId="37933768">
            <w:pPr>
              <w:widowControl/>
              <w:spacing w:line="280" w:lineRule="exact"/>
              <w:jc w:val="center"/>
              <w:rPr>
                <w:rFonts w:ascii="Times New Roman" w:hAnsi="Times New Roman" w:eastAsia="方正仿宋_GBK"/>
                <w:kern w:val="0"/>
                <w:sz w:val="24"/>
              </w:rPr>
            </w:pPr>
            <w:r>
              <w:rPr>
                <w:rFonts w:hint="eastAsia" w:ascii="Times New Roman" w:hAnsi="Times New Roman" w:eastAsia="方正仿宋_GBK"/>
                <w:kern w:val="0"/>
                <w:sz w:val="24"/>
              </w:rPr>
              <w:t>应保尽保</w:t>
            </w:r>
          </w:p>
        </w:tc>
        <w:tc>
          <w:tcPr>
            <w:tcW w:w="1012" w:type="dxa"/>
            <w:shd w:val="clear" w:color="auto" w:fill="auto"/>
            <w:vAlign w:val="center"/>
          </w:tcPr>
          <w:p w14:paraId="6D17399E">
            <w:pPr>
              <w:widowControl/>
              <w:spacing w:line="280" w:lineRule="exact"/>
              <w:jc w:val="center"/>
              <w:rPr>
                <w:rFonts w:ascii="Times New Roman" w:hAnsi="Times New Roman" w:eastAsia="方正仿宋_GBK"/>
                <w:kern w:val="0"/>
                <w:sz w:val="24"/>
              </w:rPr>
            </w:pPr>
            <w:r>
              <w:rPr>
                <w:rFonts w:ascii="Times New Roman" w:hAnsi="Times New Roman" w:eastAsia="方正仿宋_GBK"/>
                <w:kern w:val="0"/>
                <w:sz w:val="24"/>
              </w:rPr>
              <w:t>—</w:t>
            </w:r>
          </w:p>
        </w:tc>
        <w:tc>
          <w:tcPr>
            <w:tcW w:w="907" w:type="dxa"/>
            <w:shd w:val="clear" w:color="auto" w:fill="auto"/>
            <w:noWrap/>
            <w:vAlign w:val="center"/>
          </w:tcPr>
          <w:p w14:paraId="56C3A96A">
            <w:pPr>
              <w:widowControl/>
              <w:spacing w:line="280" w:lineRule="exact"/>
              <w:jc w:val="center"/>
              <w:rPr>
                <w:rFonts w:ascii="Times New Roman" w:hAnsi="Times New Roman" w:eastAsia="方正仿宋_GBK"/>
                <w:kern w:val="0"/>
                <w:sz w:val="24"/>
              </w:rPr>
            </w:pPr>
            <w:r>
              <w:rPr>
                <w:rFonts w:ascii="Times New Roman" w:hAnsi="Times New Roman" w:eastAsia="方正仿宋_GBK"/>
                <w:kern w:val="0"/>
                <w:sz w:val="24"/>
              </w:rPr>
              <w:t>约束性</w:t>
            </w:r>
          </w:p>
        </w:tc>
      </w:tr>
      <w:tr w14:paraId="3A7BD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9" w:hRule="atLeast"/>
          <w:jc w:val="center"/>
        </w:trPr>
        <w:tc>
          <w:tcPr>
            <w:tcW w:w="3874" w:type="dxa"/>
            <w:shd w:val="clear" w:color="auto" w:fill="auto"/>
            <w:vAlign w:val="center"/>
          </w:tcPr>
          <w:p w14:paraId="355A75A4">
            <w:pPr>
              <w:widowControl/>
              <w:spacing w:line="280" w:lineRule="exact"/>
              <w:rPr>
                <w:rFonts w:ascii="Times New Roman" w:hAnsi="Times New Roman" w:eastAsia="方正仿宋_GBK"/>
                <w:kern w:val="0"/>
                <w:sz w:val="24"/>
              </w:rPr>
            </w:pPr>
            <w:r>
              <w:rPr>
                <w:rFonts w:ascii="Times New Roman" w:hAnsi="Times New Roman" w:eastAsia="方正仿宋_GBK"/>
                <w:kern w:val="0"/>
                <w:sz w:val="24"/>
              </w:rPr>
              <w:t>城镇基本医疗保险参保人数（万人）</w:t>
            </w:r>
          </w:p>
        </w:tc>
        <w:tc>
          <w:tcPr>
            <w:tcW w:w="1505" w:type="dxa"/>
            <w:shd w:val="clear" w:color="auto" w:fill="auto"/>
            <w:vAlign w:val="center"/>
          </w:tcPr>
          <w:p w14:paraId="1B926F18">
            <w:pPr>
              <w:widowControl/>
              <w:spacing w:line="280" w:lineRule="exact"/>
              <w:jc w:val="center"/>
              <w:rPr>
                <w:rFonts w:ascii="Times New Roman" w:hAnsi="Times New Roman" w:eastAsia="方正仿宋_GBK"/>
                <w:kern w:val="0"/>
                <w:sz w:val="24"/>
              </w:rPr>
            </w:pPr>
            <w:r>
              <w:rPr>
                <w:rFonts w:ascii="Times New Roman" w:hAnsi="Times New Roman" w:eastAsia="方正仿宋_GBK"/>
                <w:kern w:val="0"/>
                <w:sz w:val="24"/>
              </w:rPr>
              <w:t>15</w:t>
            </w:r>
          </w:p>
        </w:tc>
        <w:tc>
          <w:tcPr>
            <w:tcW w:w="1505" w:type="dxa"/>
            <w:shd w:val="clear" w:color="auto" w:fill="auto"/>
            <w:vAlign w:val="center"/>
          </w:tcPr>
          <w:p w14:paraId="6EA07039">
            <w:pPr>
              <w:widowControl/>
              <w:spacing w:line="280" w:lineRule="exact"/>
              <w:jc w:val="center"/>
              <w:rPr>
                <w:rFonts w:ascii="Times New Roman" w:hAnsi="Times New Roman" w:eastAsia="方正仿宋_GBK"/>
                <w:kern w:val="0"/>
                <w:sz w:val="24"/>
              </w:rPr>
            </w:pPr>
            <w:r>
              <w:rPr>
                <w:rFonts w:hint="eastAsia" w:ascii="Times New Roman" w:hAnsi="Times New Roman" w:eastAsia="方正仿宋_GBK"/>
                <w:kern w:val="0"/>
                <w:sz w:val="24"/>
              </w:rPr>
              <w:t>应保尽保</w:t>
            </w:r>
          </w:p>
        </w:tc>
        <w:tc>
          <w:tcPr>
            <w:tcW w:w="1012" w:type="dxa"/>
            <w:shd w:val="clear" w:color="auto" w:fill="auto"/>
            <w:vAlign w:val="center"/>
          </w:tcPr>
          <w:p w14:paraId="357F2BE1">
            <w:pPr>
              <w:widowControl/>
              <w:spacing w:line="280" w:lineRule="exact"/>
              <w:jc w:val="center"/>
              <w:rPr>
                <w:rFonts w:ascii="Times New Roman" w:hAnsi="Times New Roman" w:eastAsia="方正仿宋_GBK"/>
                <w:kern w:val="0"/>
                <w:sz w:val="24"/>
              </w:rPr>
            </w:pPr>
            <w:r>
              <w:rPr>
                <w:rFonts w:hint="eastAsia" w:ascii="Times New Roman" w:hAnsi="Times New Roman" w:eastAsia="方正仿宋_GBK"/>
                <w:kern w:val="0"/>
                <w:sz w:val="24"/>
              </w:rPr>
              <w:t>-</w:t>
            </w:r>
          </w:p>
        </w:tc>
        <w:tc>
          <w:tcPr>
            <w:tcW w:w="907" w:type="dxa"/>
            <w:shd w:val="clear" w:color="auto" w:fill="auto"/>
            <w:noWrap/>
            <w:vAlign w:val="center"/>
          </w:tcPr>
          <w:p w14:paraId="69C6A4C1">
            <w:pPr>
              <w:widowControl/>
              <w:spacing w:line="280" w:lineRule="exact"/>
              <w:jc w:val="center"/>
              <w:rPr>
                <w:rFonts w:ascii="Times New Roman" w:hAnsi="Times New Roman" w:eastAsia="方正仿宋_GBK"/>
                <w:kern w:val="0"/>
                <w:sz w:val="24"/>
              </w:rPr>
            </w:pPr>
            <w:r>
              <w:rPr>
                <w:rFonts w:ascii="Times New Roman" w:hAnsi="Times New Roman" w:eastAsia="方正仿宋_GBK"/>
                <w:kern w:val="0"/>
                <w:sz w:val="24"/>
              </w:rPr>
              <w:t>约束性</w:t>
            </w:r>
          </w:p>
        </w:tc>
      </w:tr>
      <w:tr w14:paraId="521ED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9" w:hRule="atLeast"/>
          <w:jc w:val="center"/>
        </w:trPr>
        <w:tc>
          <w:tcPr>
            <w:tcW w:w="3874" w:type="dxa"/>
            <w:shd w:val="clear" w:color="auto" w:fill="auto"/>
            <w:vAlign w:val="center"/>
          </w:tcPr>
          <w:p w14:paraId="5ABD4F9B">
            <w:pPr>
              <w:widowControl/>
              <w:spacing w:line="280" w:lineRule="exact"/>
              <w:rPr>
                <w:rFonts w:ascii="Times New Roman" w:hAnsi="Times New Roman" w:eastAsia="方正仿宋_GBK"/>
                <w:kern w:val="0"/>
                <w:sz w:val="24"/>
              </w:rPr>
            </w:pPr>
            <w:r>
              <w:rPr>
                <w:rFonts w:ascii="Times New Roman" w:hAnsi="Times New Roman" w:eastAsia="方正仿宋_GBK"/>
                <w:kern w:val="0"/>
                <w:sz w:val="24"/>
              </w:rPr>
              <w:t>每千名老人拥有养老床位数（张）</w:t>
            </w:r>
          </w:p>
        </w:tc>
        <w:tc>
          <w:tcPr>
            <w:tcW w:w="1505" w:type="dxa"/>
            <w:shd w:val="clear" w:color="auto" w:fill="auto"/>
            <w:vAlign w:val="center"/>
          </w:tcPr>
          <w:p w14:paraId="660E4CDC">
            <w:pPr>
              <w:widowControl/>
              <w:spacing w:line="280" w:lineRule="exact"/>
              <w:jc w:val="center"/>
              <w:rPr>
                <w:rFonts w:ascii="Times New Roman" w:hAnsi="Times New Roman" w:eastAsia="方正仿宋_GBK"/>
                <w:kern w:val="0"/>
                <w:sz w:val="24"/>
              </w:rPr>
            </w:pPr>
            <w:r>
              <w:rPr>
                <w:rFonts w:ascii="Times New Roman" w:hAnsi="Times New Roman" w:eastAsia="方正仿宋_GBK"/>
                <w:kern w:val="0"/>
                <w:sz w:val="24"/>
              </w:rPr>
              <w:t>75</w:t>
            </w:r>
          </w:p>
        </w:tc>
        <w:tc>
          <w:tcPr>
            <w:tcW w:w="1505" w:type="dxa"/>
            <w:shd w:val="clear" w:color="auto" w:fill="auto"/>
            <w:vAlign w:val="center"/>
          </w:tcPr>
          <w:p w14:paraId="6D1F040C">
            <w:pPr>
              <w:widowControl/>
              <w:spacing w:line="280" w:lineRule="exact"/>
              <w:jc w:val="center"/>
              <w:rPr>
                <w:rFonts w:ascii="Times New Roman" w:hAnsi="Times New Roman" w:eastAsia="方正仿宋_GBK"/>
                <w:kern w:val="0"/>
                <w:sz w:val="24"/>
              </w:rPr>
            </w:pPr>
            <w:r>
              <w:rPr>
                <w:rFonts w:ascii="Times New Roman" w:hAnsi="Times New Roman" w:eastAsia="方正仿宋_GBK"/>
                <w:kern w:val="0"/>
                <w:sz w:val="24"/>
              </w:rPr>
              <w:t>75</w:t>
            </w:r>
          </w:p>
        </w:tc>
        <w:tc>
          <w:tcPr>
            <w:tcW w:w="1012" w:type="dxa"/>
            <w:shd w:val="clear" w:color="auto" w:fill="auto"/>
            <w:vAlign w:val="center"/>
          </w:tcPr>
          <w:p w14:paraId="5E74E26B">
            <w:pPr>
              <w:widowControl/>
              <w:spacing w:line="280" w:lineRule="exact"/>
              <w:jc w:val="center"/>
              <w:rPr>
                <w:rFonts w:ascii="Times New Roman" w:hAnsi="Times New Roman" w:eastAsia="方正仿宋_GBK"/>
                <w:kern w:val="0"/>
                <w:sz w:val="24"/>
              </w:rPr>
            </w:pPr>
            <w:r>
              <w:rPr>
                <w:rFonts w:ascii="Times New Roman" w:hAnsi="Times New Roman" w:eastAsia="方正仿宋_GBK"/>
                <w:kern w:val="0"/>
                <w:sz w:val="24"/>
              </w:rPr>
              <w:t>4</w:t>
            </w:r>
          </w:p>
        </w:tc>
        <w:tc>
          <w:tcPr>
            <w:tcW w:w="907" w:type="dxa"/>
            <w:shd w:val="clear" w:color="auto" w:fill="auto"/>
            <w:noWrap/>
            <w:vAlign w:val="center"/>
          </w:tcPr>
          <w:p w14:paraId="3FFA96D9">
            <w:pPr>
              <w:widowControl/>
              <w:spacing w:line="280" w:lineRule="exact"/>
              <w:jc w:val="center"/>
              <w:rPr>
                <w:rFonts w:ascii="Times New Roman" w:hAnsi="Times New Roman" w:eastAsia="方正仿宋_GBK"/>
                <w:kern w:val="0"/>
                <w:sz w:val="24"/>
              </w:rPr>
            </w:pPr>
            <w:r>
              <w:rPr>
                <w:rFonts w:ascii="Times New Roman" w:hAnsi="Times New Roman" w:eastAsia="方正仿宋_GBK"/>
                <w:kern w:val="0"/>
                <w:sz w:val="24"/>
              </w:rPr>
              <w:t>预期性</w:t>
            </w:r>
          </w:p>
        </w:tc>
      </w:tr>
      <w:tr w14:paraId="1DDAD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9" w:hRule="atLeast"/>
          <w:jc w:val="center"/>
        </w:trPr>
        <w:tc>
          <w:tcPr>
            <w:tcW w:w="8803" w:type="dxa"/>
            <w:gridSpan w:val="5"/>
            <w:shd w:val="clear" w:color="auto" w:fill="auto"/>
            <w:vAlign w:val="center"/>
          </w:tcPr>
          <w:p w14:paraId="0B76FC63">
            <w:pPr>
              <w:widowControl/>
              <w:spacing w:line="280" w:lineRule="exact"/>
              <w:rPr>
                <w:rFonts w:ascii="Times New Roman" w:hAnsi="Times New Roman" w:eastAsia="方正仿宋_GBK"/>
                <w:kern w:val="0"/>
                <w:sz w:val="24"/>
              </w:rPr>
            </w:pPr>
            <w:r>
              <w:rPr>
                <w:rFonts w:ascii="Times New Roman" w:hAnsi="Times New Roman" w:eastAsia="方正楷体_GBK"/>
                <w:bCs/>
                <w:kern w:val="0"/>
                <w:sz w:val="24"/>
              </w:rPr>
              <w:t>六、人民生活</w:t>
            </w:r>
          </w:p>
        </w:tc>
      </w:tr>
      <w:tr w14:paraId="12AEE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9" w:hRule="atLeast"/>
          <w:jc w:val="center"/>
        </w:trPr>
        <w:tc>
          <w:tcPr>
            <w:tcW w:w="3874" w:type="dxa"/>
            <w:shd w:val="clear" w:color="auto" w:fill="auto"/>
            <w:vAlign w:val="center"/>
          </w:tcPr>
          <w:p w14:paraId="07544A21">
            <w:pPr>
              <w:widowControl/>
              <w:spacing w:line="280" w:lineRule="exact"/>
              <w:rPr>
                <w:rFonts w:ascii="Times New Roman" w:hAnsi="Times New Roman" w:eastAsia="方正仿宋_GBK"/>
                <w:kern w:val="0"/>
                <w:sz w:val="24"/>
              </w:rPr>
            </w:pPr>
            <w:r>
              <w:rPr>
                <w:rFonts w:ascii="Times New Roman" w:hAnsi="Times New Roman" w:eastAsia="方正仿宋_GBK"/>
                <w:kern w:val="0"/>
                <w:sz w:val="24"/>
              </w:rPr>
              <w:t>城镇常住居民人均可支配收入（元）</w:t>
            </w:r>
          </w:p>
        </w:tc>
        <w:tc>
          <w:tcPr>
            <w:tcW w:w="1505" w:type="dxa"/>
            <w:shd w:val="clear" w:color="auto" w:fill="auto"/>
            <w:vAlign w:val="center"/>
          </w:tcPr>
          <w:p w14:paraId="4850F80B">
            <w:pPr>
              <w:widowControl/>
              <w:spacing w:line="280" w:lineRule="exact"/>
              <w:jc w:val="center"/>
              <w:rPr>
                <w:rFonts w:ascii="Times New Roman" w:hAnsi="Times New Roman" w:eastAsia="方正仿宋_GBK"/>
                <w:kern w:val="0"/>
                <w:sz w:val="24"/>
              </w:rPr>
            </w:pPr>
            <w:r>
              <w:rPr>
                <w:rFonts w:ascii="Times New Roman" w:hAnsi="Times New Roman" w:eastAsia="方正仿宋_GBK"/>
                <w:kern w:val="0"/>
                <w:sz w:val="24"/>
              </w:rPr>
              <w:t>33440</w:t>
            </w:r>
          </w:p>
        </w:tc>
        <w:tc>
          <w:tcPr>
            <w:tcW w:w="1505" w:type="dxa"/>
            <w:shd w:val="clear" w:color="auto" w:fill="auto"/>
            <w:vAlign w:val="center"/>
          </w:tcPr>
          <w:p w14:paraId="7D421D40">
            <w:pPr>
              <w:widowControl/>
              <w:spacing w:line="280" w:lineRule="exact"/>
              <w:jc w:val="center"/>
              <w:rPr>
                <w:rFonts w:ascii="Times New Roman" w:hAnsi="Times New Roman" w:eastAsia="方正仿宋_GBK"/>
                <w:kern w:val="0"/>
                <w:sz w:val="24"/>
              </w:rPr>
            </w:pPr>
            <w:r>
              <w:rPr>
                <w:rFonts w:hint="eastAsia" w:ascii="Times New Roman" w:hAnsi="Times New Roman" w:eastAsia="方正仿宋_GBK"/>
                <w:kern w:val="0"/>
                <w:sz w:val="24"/>
              </w:rPr>
              <w:t>35247</w:t>
            </w:r>
          </w:p>
        </w:tc>
        <w:tc>
          <w:tcPr>
            <w:tcW w:w="1012" w:type="dxa"/>
            <w:shd w:val="clear" w:color="auto" w:fill="auto"/>
            <w:vAlign w:val="center"/>
          </w:tcPr>
          <w:p w14:paraId="7C097123">
            <w:pPr>
              <w:widowControl/>
              <w:spacing w:line="280" w:lineRule="exact"/>
              <w:jc w:val="center"/>
              <w:rPr>
                <w:rFonts w:hint="eastAsia" w:ascii="Times New Roman" w:hAnsi="Times New Roman" w:eastAsia="方正仿宋_GBK"/>
                <w:kern w:val="0"/>
                <w:sz w:val="24"/>
                <w:lang w:eastAsia="zh-CN"/>
              </w:rPr>
            </w:pPr>
            <w:r>
              <w:rPr>
                <w:rFonts w:ascii="Times New Roman" w:hAnsi="Times New Roman" w:eastAsia="方正仿宋_GBK"/>
                <w:kern w:val="0"/>
                <w:sz w:val="24"/>
              </w:rPr>
              <w:t>8</w:t>
            </w:r>
            <w:r>
              <w:rPr>
                <w:rFonts w:hint="eastAsia" w:ascii="Times New Roman" w:hAnsi="Times New Roman" w:eastAsia="方正仿宋_GBK"/>
                <w:kern w:val="0"/>
                <w:sz w:val="24"/>
              </w:rPr>
              <w:t>.</w:t>
            </w:r>
            <w:r>
              <w:rPr>
                <w:rFonts w:hint="eastAsia" w:ascii="Times New Roman" w:hAnsi="Times New Roman" w:eastAsia="方正仿宋_GBK"/>
                <w:kern w:val="0"/>
                <w:sz w:val="24"/>
                <w:lang w:val="en-US" w:eastAsia="zh-CN"/>
              </w:rPr>
              <w:t>1</w:t>
            </w:r>
          </w:p>
        </w:tc>
        <w:tc>
          <w:tcPr>
            <w:tcW w:w="907" w:type="dxa"/>
            <w:shd w:val="clear" w:color="auto" w:fill="auto"/>
            <w:noWrap/>
            <w:vAlign w:val="center"/>
          </w:tcPr>
          <w:p w14:paraId="29314FE0">
            <w:pPr>
              <w:widowControl/>
              <w:spacing w:line="280" w:lineRule="exact"/>
              <w:jc w:val="center"/>
              <w:rPr>
                <w:rFonts w:ascii="Times New Roman" w:hAnsi="Times New Roman" w:eastAsia="方正仿宋_GBK"/>
                <w:kern w:val="0"/>
                <w:sz w:val="24"/>
              </w:rPr>
            </w:pPr>
            <w:r>
              <w:rPr>
                <w:rFonts w:ascii="Times New Roman" w:hAnsi="Times New Roman" w:eastAsia="方正仿宋_GBK"/>
                <w:kern w:val="0"/>
                <w:sz w:val="24"/>
              </w:rPr>
              <w:t>预期性</w:t>
            </w:r>
          </w:p>
        </w:tc>
      </w:tr>
      <w:tr w14:paraId="01AB1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9" w:hRule="atLeast"/>
          <w:jc w:val="center"/>
        </w:trPr>
        <w:tc>
          <w:tcPr>
            <w:tcW w:w="3874" w:type="dxa"/>
            <w:shd w:val="clear" w:color="auto" w:fill="auto"/>
            <w:vAlign w:val="center"/>
          </w:tcPr>
          <w:p w14:paraId="0895A52A">
            <w:pPr>
              <w:widowControl/>
              <w:spacing w:line="280" w:lineRule="exact"/>
              <w:rPr>
                <w:rFonts w:ascii="Times New Roman" w:hAnsi="Times New Roman" w:eastAsia="方正仿宋_GBK"/>
                <w:kern w:val="0"/>
                <w:sz w:val="24"/>
              </w:rPr>
            </w:pPr>
            <w:r>
              <w:rPr>
                <w:rFonts w:ascii="Times New Roman" w:hAnsi="Times New Roman" w:eastAsia="方正仿宋_GBK"/>
                <w:kern w:val="0"/>
                <w:sz w:val="24"/>
              </w:rPr>
              <w:t>农村常住居民人均可支配收入（元）</w:t>
            </w:r>
          </w:p>
        </w:tc>
        <w:tc>
          <w:tcPr>
            <w:tcW w:w="1505" w:type="dxa"/>
            <w:shd w:val="clear" w:color="auto" w:fill="auto"/>
            <w:vAlign w:val="center"/>
          </w:tcPr>
          <w:p w14:paraId="7E411DAC">
            <w:pPr>
              <w:widowControl/>
              <w:spacing w:line="280" w:lineRule="exact"/>
              <w:jc w:val="center"/>
              <w:rPr>
                <w:rFonts w:ascii="Times New Roman" w:hAnsi="Times New Roman" w:eastAsia="方正仿宋_GBK"/>
                <w:kern w:val="0"/>
                <w:sz w:val="24"/>
              </w:rPr>
            </w:pPr>
            <w:r>
              <w:rPr>
                <w:rFonts w:ascii="Times New Roman" w:hAnsi="Times New Roman" w:eastAsia="方正仿宋_GBK"/>
                <w:kern w:val="0"/>
                <w:sz w:val="24"/>
              </w:rPr>
              <w:t>17260</w:t>
            </w:r>
          </w:p>
        </w:tc>
        <w:tc>
          <w:tcPr>
            <w:tcW w:w="1505" w:type="dxa"/>
            <w:shd w:val="clear" w:color="auto" w:fill="auto"/>
            <w:vAlign w:val="center"/>
          </w:tcPr>
          <w:p w14:paraId="1F440210">
            <w:pPr>
              <w:widowControl/>
              <w:spacing w:line="280" w:lineRule="exact"/>
              <w:jc w:val="center"/>
              <w:rPr>
                <w:rFonts w:ascii="Times New Roman" w:hAnsi="Times New Roman" w:eastAsia="方正仿宋_GBK"/>
                <w:kern w:val="0"/>
                <w:sz w:val="24"/>
              </w:rPr>
            </w:pPr>
            <w:r>
              <w:rPr>
                <w:rFonts w:hint="eastAsia" w:ascii="Times New Roman" w:hAnsi="Times New Roman" w:eastAsia="方正仿宋_GBK"/>
                <w:kern w:val="0"/>
                <w:sz w:val="24"/>
              </w:rPr>
              <w:t>18333</w:t>
            </w:r>
          </w:p>
        </w:tc>
        <w:tc>
          <w:tcPr>
            <w:tcW w:w="1012" w:type="dxa"/>
            <w:shd w:val="clear" w:color="auto" w:fill="auto"/>
            <w:vAlign w:val="center"/>
          </w:tcPr>
          <w:p w14:paraId="3E15611F">
            <w:pPr>
              <w:widowControl/>
              <w:spacing w:line="280" w:lineRule="exact"/>
              <w:jc w:val="center"/>
              <w:rPr>
                <w:rFonts w:hint="eastAsia" w:ascii="Times New Roman" w:hAnsi="Times New Roman" w:eastAsia="方正仿宋_GBK"/>
                <w:kern w:val="0"/>
                <w:sz w:val="24"/>
                <w:lang w:eastAsia="zh-CN"/>
              </w:rPr>
            </w:pPr>
            <w:r>
              <w:rPr>
                <w:rFonts w:hint="eastAsia" w:ascii="Times New Roman" w:hAnsi="Times New Roman" w:eastAsia="方正仿宋_GBK"/>
                <w:kern w:val="0"/>
                <w:sz w:val="24"/>
              </w:rPr>
              <w:t>9.</w:t>
            </w:r>
            <w:r>
              <w:rPr>
                <w:rFonts w:hint="eastAsia" w:ascii="Times New Roman" w:hAnsi="Times New Roman" w:eastAsia="方正仿宋_GBK"/>
                <w:kern w:val="0"/>
                <w:sz w:val="24"/>
                <w:lang w:val="en-US" w:eastAsia="zh-CN"/>
              </w:rPr>
              <w:t>3</w:t>
            </w:r>
          </w:p>
        </w:tc>
        <w:tc>
          <w:tcPr>
            <w:tcW w:w="907" w:type="dxa"/>
            <w:shd w:val="clear" w:color="auto" w:fill="auto"/>
            <w:noWrap/>
            <w:vAlign w:val="center"/>
          </w:tcPr>
          <w:p w14:paraId="3560868B">
            <w:pPr>
              <w:widowControl/>
              <w:spacing w:line="280" w:lineRule="exact"/>
              <w:jc w:val="center"/>
              <w:rPr>
                <w:rFonts w:ascii="Times New Roman" w:hAnsi="Times New Roman" w:eastAsia="方正仿宋_GBK"/>
                <w:kern w:val="0"/>
                <w:sz w:val="24"/>
              </w:rPr>
            </w:pPr>
            <w:r>
              <w:rPr>
                <w:rFonts w:ascii="Times New Roman" w:hAnsi="Times New Roman" w:eastAsia="方正仿宋_GBK"/>
                <w:kern w:val="0"/>
                <w:sz w:val="24"/>
              </w:rPr>
              <w:t>预期性</w:t>
            </w:r>
          </w:p>
        </w:tc>
      </w:tr>
      <w:tr w14:paraId="597F3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9" w:hRule="atLeast"/>
          <w:jc w:val="center"/>
        </w:trPr>
        <w:tc>
          <w:tcPr>
            <w:tcW w:w="3874" w:type="dxa"/>
            <w:shd w:val="clear" w:color="auto" w:fill="auto"/>
            <w:vAlign w:val="center"/>
          </w:tcPr>
          <w:p w14:paraId="4CD3FAEE">
            <w:pPr>
              <w:widowControl/>
              <w:spacing w:line="280" w:lineRule="exact"/>
              <w:rPr>
                <w:rFonts w:ascii="Times New Roman" w:hAnsi="Times New Roman" w:eastAsia="方正仿宋_GBK"/>
                <w:kern w:val="0"/>
                <w:sz w:val="24"/>
              </w:rPr>
            </w:pPr>
            <w:r>
              <w:rPr>
                <w:rFonts w:ascii="Times New Roman" w:hAnsi="Times New Roman" w:eastAsia="方正仿宋_GBK"/>
                <w:kern w:val="0"/>
                <w:sz w:val="24"/>
              </w:rPr>
              <w:t>农村安全饮水普及率（%）</w:t>
            </w:r>
          </w:p>
        </w:tc>
        <w:tc>
          <w:tcPr>
            <w:tcW w:w="1505" w:type="dxa"/>
            <w:shd w:val="clear" w:color="auto" w:fill="auto"/>
            <w:vAlign w:val="center"/>
          </w:tcPr>
          <w:p w14:paraId="3B1BA4DB">
            <w:pPr>
              <w:widowControl/>
              <w:spacing w:line="280" w:lineRule="exact"/>
              <w:jc w:val="center"/>
              <w:rPr>
                <w:rFonts w:ascii="Times New Roman" w:hAnsi="Times New Roman" w:eastAsia="方正仿宋_GBK"/>
                <w:kern w:val="0"/>
                <w:sz w:val="24"/>
              </w:rPr>
            </w:pPr>
            <w:r>
              <w:rPr>
                <w:rFonts w:ascii="Times New Roman" w:hAnsi="Times New Roman" w:eastAsia="方正仿宋_GBK"/>
                <w:kern w:val="0"/>
                <w:sz w:val="24"/>
              </w:rPr>
              <w:t>85</w:t>
            </w:r>
          </w:p>
        </w:tc>
        <w:tc>
          <w:tcPr>
            <w:tcW w:w="1505" w:type="dxa"/>
            <w:shd w:val="clear" w:color="auto" w:fill="auto"/>
            <w:vAlign w:val="center"/>
          </w:tcPr>
          <w:p w14:paraId="3324B596">
            <w:pPr>
              <w:widowControl/>
              <w:spacing w:line="280" w:lineRule="exact"/>
              <w:jc w:val="center"/>
              <w:rPr>
                <w:rFonts w:ascii="Times New Roman" w:hAnsi="Times New Roman" w:eastAsia="方正仿宋_GBK"/>
                <w:kern w:val="0"/>
                <w:sz w:val="24"/>
              </w:rPr>
            </w:pPr>
            <w:r>
              <w:rPr>
                <w:rFonts w:ascii="Times New Roman" w:hAnsi="Times New Roman" w:eastAsia="方正仿宋_GBK"/>
                <w:kern w:val="0"/>
                <w:sz w:val="24"/>
              </w:rPr>
              <w:t>85</w:t>
            </w:r>
          </w:p>
        </w:tc>
        <w:tc>
          <w:tcPr>
            <w:tcW w:w="1012" w:type="dxa"/>
            <w:shd w:val="clear" w:color="auto" w:fill="auto"/>
            <w:vAlign w:val="center"/>
          </w:tcPr>
          <w:p w14:paraId="03735E93">
            <w:pPr>
              <w:widowControl/>
              <w:spacing w:line="280" w:lineRule="exact"/>
              <w:jc w:val="center"/>
              <w:rPr>
                <w:rFonts w:ascii="Times New Roman" w:hAnsi="Times New Roman" w:eastAsia="方正仿宋_GBK"/>
                <w:kern w:val="0"/>
                <w:sz w:val="24"/>
              </w:rPr>
            </w:pPr>
            <w:r>
              <w:rPr>
                <w:rFonts w:ascii="Times New Roman" w:hAnsi="Times New Roman" w:eastAsia="方正仿宋_GBK"/>
                <w:kern w:val="0"/>
                <w:sz w:val="24"/>
              </w:rPr>
              <w:t>—</w:t>
            </w:r>
          </w:p>
        </w:tc>
        <w:tc>
          <w:tcPr>
            <w:tcW w:w="907" w:type="dxa"/>
            <w:shd w:val="clear" w:color="auto" w:fill="auto"/>
            <w:noWrap/>
            <w:vAlign w:val="center"/>
          </w:tcPr>
          <w:p w14:paraId="09D2F287">
            <w:pPr>
              <w:widowControl/>
              <w:spacing w:line="280" w:lineRule="exact"/>
              <w:jc w:val="center"/>
              <w:rPr>
                <w:rFonts w:ascii="Times New Roman" w:hAnsi="Times New Roman" w:eastAsia="方正仿宋_GBK"/>
                <w:kern w:val="0"/>
                <w:sz w:val="24"/>
              </w:rPr>
            </w:pPr>
            <w:r>
              <w:rPr>
                <w:rFonts w:ascii="Times New Roman" w:hAnsi="Times New Roman" w:eastAsia="方正仿宋_GBK"/>
                <w:kern w:val="0"/>
                <w:sz w:val="24"/>
              </w:rPr>
              <w:t>约束性</w:t>
            </w:r>
          </w:p>
        </w:tc>
      </w:tr>
      <w:tr w14:paraId="0B5AC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9" w:hRule="atLeast"/>
          <w:jc w:val="center"/>
        </w:trPr>
        <w:tc>
          <w:tcPr>
            <w:tcW w:w="3874" w:type="dxa"/>
            <w:shd w:val="clear" w:color="auto" w:fill="auto"/>
            <w:vAlign w:val="center"/>
          </w:tcPr>
          <w:p w14:paraId="1CCD2401">
            <w:pPr>
              <w:widowControl/>
              <w:spacing w:line="280" w:lineRule="exact"/>
              <w:rPr>
                <w:rFonts w:ascii="Times New Roman" w:hAnsi="Times New Roman" w:eastAsia="方正仿宋_GBK"/>
                <w:kern w:val="0"/>
                <w:sz w:val="24"/>
              </w:rPr>
            </w:pPr>
            <w:r>
              <w:rPr>
                <w:rFonts w:ascii="Times New Roman" w:hAnsi="Times New Roman" w:eastAsia="方正仿宋_GBK"/>
                <w:kern w:val="0"/>
                <w:sz w:val="24"/>
              </w:rPr>
              <w:t>百兆家庭宽带接入能力覆盖率（%）</w:t>
            </w:r>
          </w:p>
        </w:tc>
        <w:tc>
          <w:tcPr>
            <w:tcW w:w="1505" w:type="dxa"/>
            <w:shd w:val="clear" w:color="auto" w:fill="auto"/>
            <w:vAlign w:val="center"/>
          </w:tcPr>
          <w:p w14:paraId="59A687FF">
            <w:pPr>
              <w:widowControl/>
              <w:spacing w:line="280" w:lineRule="exact"/>
              <w:jc w:val="center"/>
              <w:rPr>
                <w:rFonts w:ascii="Times New Roman" w:hAnsi="Times New Roman" w:eastAsia="方正仿宋_GBK"/>
                <w:kern w:val="0"/>
                <w:sz w:val="24"/>
              </w:rPr>
            </w:pPr>
            <w:r>
              <w:rPr>
                <w:rFonts w:ascii="Times New Roman" w:hAnsi="Times New Roman" w:eastAsia="方正仿宋_GBK"/>
                <w:kern w:val="0"/>
                <w:sz w:val="24"/>
              </w:rPr>
              <w:t>95</w:t>
            </w:r>
          </w:p>
        </w:tc>
        <w:tc>
          <w:tcPr>
            <w:tcW w:w="1505" w:type="dxa"/>
            <w:shd w:val="clear" w:color="auto" w:fill="auto"/>
            <w:vAlign w:val="center"/>
          </w:tcPr>
          <w:p w14:paraId="72E27171">
            <w:pPr>
              <w:widowControl/>
              <w:spacing w:line="280" w:lineRule="exact"/>
              <w:jc w:val="center"/>
              <w:rPr>
                <w:rFonts w:ascii="Times New Roman" w:hAnsi="Times New Roman" w:eastAsia="方正仿宋_GBK"/>
                <w:kern w:val="0"/>
                <w:sz w:val="24"/>
              </w:rPr>
            </w:pPr>
            <w:r>
              <w:rPr>
                <w:rFonts w:ascii="Times New Roman" w:hAnsi="Times New Roman" w:eastAsia="方正仿宋_GBK"/>
                <w:kern w:val="0"/>
                <w:sz w:val="24"/>
              </w:rPr>
              <w:t>95</w:t>
            </w:r>
            <w:r>
              <w:rPr>
                <w:rFonts w:hint="eastAsia" w:ascii="Times New Roman" w:hAnsi="Times New Roman" w:eastAsia="方正仿宋_GBK"/>
                <w:kern w:val="0"/>
                <w:sz w:val="24"/>
              </w:rPr>
              <w:t>以上</w:t>
            </w:r>
          </w:p>
        </w:tc>
        <w:tc>
          <w:tcPr>
            <w:tcW w:w="1012" w:type="dxa"/>
            <w:shd w:val="clear" w:color="auto" w:fill="auto"/>
            <w:vAlign w:val="center"/>
          </w:tcPr>
          <w:p w14:paraId="3F824F87">
            <w:pPr>
              <w:widowControl/>
              <w:spacing w:line="280" w:lineRule="exact"/>
              <w:jc w:val="center"/>
              <w:rPr>
                <w:rFonts w:ascii="Times New Roman" w:hAnsi="Times New Roman" w:eastAsia="方正仿宋_GBK"/>
                <w:kern w:val="0"/>
                <w:sz w:val="24"/>
              </w:rPr>
            </w:pPr>
            <w:r>
              <w:rPr>
                <w:rFonts w:ascii="Times New Roman" w:hAnsi="Times New Roman" w:eastAsia="方正仿宋_GBK"/>
                <w:kern w:val="0"/>
                <w:sz w:val="24"/>
              </w:rPr>
              <w:t>—</w:t>
            </w:r>
          </w:p>
        </w:tc>
        <w:tc>
          <w:tcPr>
            <w:tcW w:w="907" w:type="dxa"/>
            <w:shd w:val="clear" w:color="auto" w:fill="auto"/>
            <w:noWrap/>
            <w:vAlign w:val="center"/>
          </w:tcPr>
          <w:p w14:paraId="6F42AF7A">
            <w:pPr>
              <w:widowControl/>
              <w:spacing w:line="280" w:lineRule="exact"/>
              <w:jc w:val="center"/>
              <w:rPr>
                <w:rFonts w:ascii="Times New Roman" w:hAnsi="Times New Roman" w:eastAsia="方正仿宋_GBK"/>
                <w:kern w:val="0"/>
                <w:sz w:val="24"/>
              </w:rPr>
            </w:pPr>
            <w:r>
              <w:rPr>
                <w:rFonts w:ascii="Times New Roman" w:hAnsi="Times New Roman" w:eastAsia="方正仿宋_GBK"/>
                <w:kern w:val="0"/>
                <w:sz w:val="24"/>
              </w:rPr>
              <w:t>预期性</w:t>
            </w:r>
          </w:p>
        </w:tc>
      </w:tr>
    </w:tbl>
    <w:p w14:paraId="7B46B43B">
      <w:pPr>
        <w:spacing w:before="100" w:beforeAutospacing="1" w:after="100" w:afterAutospacing="1"/>
        <w:jc w:val="center"/>
        <w:outlineLvl w:val="1"/>
        <w:rPr>
          <w:rFonts w:ascii="Times New Roman" w:hAnsi="Times New Roman" w:eastAsia="黑体"/>
          <w:sz w:val="32"/>
          <w:szCs w:val="32"/>
        </w:rPr>
      </w:pPr>
      <w:bookmarkStart w:id="4" w:name="_Toc28607"/>
      <w:bookmarkStart w:id="5" w:name="_Toc53003418"/>
      <w:r>
        <w:rPr>
          <w:rFonts w:ascii="Times New Roman" w:hAnsi="Times New Roman" w:eastAsia="黑体"/>
          <w:sz w:val="32"/>
          <w:szCs w:val="32"/>
        </w:rPr>
        <w:t>第二节</w:t>
      </w:r>
      <w:r>
        <w:rPr>
          <w:rFonts w:hint="eastAsia" w:ascii="Times New Roman" w:hAnsi="Times New Roman" w:eastAsia="黑体"/>
          <w:sz w:val="32"/>
          <w:szCs w:val="32"/>
          <w:lang w:val="en-US" w:eastAsia="zh-CN"/>
        </w:rPr>
        <w:t xml:space="preserve"> </w:t>
      </w:r>
      <w:r>
        <w:rPr>
          <w:rFonts w:ascii="Times New Roman" w:hAnsi="Times New Roman" w:eastAsia="黑体"/>
          <w:sz w:val="32"/>
          <w:szCs w:val="32"/>
        </w:rPr>
        <w:t>“十四五”时期经济社会发展环境</w:t>
      </w:r>
      <w:bookmarkEnd w:id="4"/>
      <w:bookmarkEnd w:id="5"/>
      <w:r>
        <w:rPr>
          <w:rFonts w:ascii="Times New Roman" w:hAnsi="Times New Roman" w:eastAsia="黑体"/>
          <w:sz w:val="32"/>
          <w:szCs w:val="32"/>
        </w:rPr>
        <w:tab/>
      </w:r>
    </w:p>
    <w:p w14:paraId="35DBC569">
      <w:pPr>
        <w:spacing w:line="600" w:lineRule="exact"/>
        <w:ind w:firstLine="640" w:firstLineChars="200"/>
        <w:rPr>
          <w:rFonts w:ascii="Times New Roman" w:hAnsi="Times New Roman" w:eastAsia="仿宋_GB2312"/>
          <w:sz w:val="32"/>
          <w:szCs w:val="32"/>
        </w:rPr>
      </w:pPr>
      <w:bookmarkStart w:id="6" w:name="_Toc53003419"/>
      <w:r>
        <w:rPr>
          <w:rFonts w:hint="eastAsia" w:ascii="Times New Roman" w:hAnsi="Times New Roman" w:eastAsia="仿宋_GB2312"/>
          <w:sz w:val="32"/>
          <w:szCs w:val="32"/>
        </w:rPr>
        <w:t>从国际环境看，当今世界正经历百年未有之大变局，新一轮科技革命和产业变革深入发展，国际力量对比深刻调整，和平与发展仍然是时代主题，人类命运共同体理念深入人心，同时国际环境日趋复杂，不稳定性不确定性明显增加，新冠肺炎疫情影响广泛深远，经济全球化遭遇逆流，世界进入动荡变革期，单边主义、保护主义、霸权主义对世界和平与发展构成威胁。从国内环境看，我国已转向高质量发展阶段，制度优势显著，治理效能提升，经济长期向好，物质基础雄厚，人力资源丰富，市场空间广阔，发展韧性强劲，社会大局稳定，继续发展具有多方面优势和条件，为我市发展提供了较为稳定的国内发展环境。</w:t>
      </w:r>
    </w:p>
    <w:p w14:paraId="71C2B789">
      <w:pPr>
        <w:ind w:firstLine="640" w:firstLineChars="200"/>
        <w:rPr>
          <w:rFonts w:ascii="仿宋_GB2312" w:eastAsia="仿宋_GB2312"/>
          <w:sz w:val="32"/>
          <w:szCs w:val="32"/>
        </w:rPr>
      </w:pPr>
      <w:r>
        <w:rPr>
          <w:rFonts w:hint="eastAsia" w:ascii="Times New Roman" w:hAnsi="Times New Roman" w:eastAsia="仿宋_GB2312"/>
          <w:sz w:val="32"/>
          <w:szCs w:val="32"/>
        </w:rPr>
        <w:t>从我市实际看，国内国际双循环新发展格局加快构建，将释放巨大的产业升级、投资和国内消费需求，有助于我市依托民营经济优势深度融入强大国内市场；</w:t>
      </w:r>
      <w:r>
        <w:rPr>
          <w:rFonts w:ascii="仿宋_GB2312" w:eastAsia="仿宋_GB2312"/>
          <w:sz w:val="32"/>
          <w:szCs w:val="32"/>
        </w:rPr>
        <w:t>长三角一体化、</w:t>
      </w:r>
      <w:r>
        <w:rPr>
          <w:rFonts w:hint="eastAsia" w:ascii="仿宋_GB2312" w:eastAsia="仿宋_GB2312"/>
          <w:sz w:val="32"/>
          <w:szCs w:val="32"/>
        </w:rPr>
        <w:t>长江</w:t>
      </w:r>
      <w:r>
        <w:rPr>
          <w:rFonts w:ascii="仿宋_GB2312" w:eastAsia="仿宋_GB2312"/>
          <w:sz w:val="32"/>
          <w:szCs w:val="32"/>
        </w:rPr>
        <w:t>经济带、</w:t>
      </w:r>
      <w:r>
        <w:rPr>
          <w:rFonts w:hint="eastAsia" w:ascii="仿宋_GB2312" w:eastAsia="仿宋_GB2312"/>
          <w:sz w:val="32"/>
          <w:szCs w:val="32"/>
        </w:rPr>
        <w:t>皖江</w:t>
      </w:r>
      <w:r>
        <w:rPr>
          <w:rFonts w:ascii="仿宋_GB2312" w:eastAsia="仿宋_GB2312"/>
          <w:sz w:val="32"/>
          <w:szCs w:val="32"/>
        </w:rPr>
        <w:t>经济带承接</w:t>
      </w:r>
      <w:r>
        <w:rPr>
          <w:rFonts w:hint="eastAsia" w:ascii="仿宋_GB2312" w:eastAsia="仿宋_GB2312"/>
          <w:sz w:val="32"/>
          <w:szCs w:val="32"/>
        </w:rPr>
        <w:t>产业</w:t>
      </w:r>
      <w:r>
        <w:rPr>
          <w:rFonts w:ascii="仿宋_GB2312" w:eastAsia="仿宋_GB2312"/>
          <w:sz w:val="32"/>
          <w:szCs w:val="32"/>
        </w:rPr>
        <w:t>转移示范区、</w:t>
      </w:r>
      <w:r>
        <w:rPr>
          <w:rFonts w:hint="eastAsia" w:ascii="仿宋_GB2312" w:eastAsia="仿宋_GB2312"/>
          <w:sz w:val="32"/>
          <w:szCs w:val="32"/>
        </w:rPr>
        <w:t>皖南</w:t>
      </w:r>
      <w:r>
        <w:rPr>
          <w:rFonts w:ascii="仿宋_GB2312" w:eastAsia="仿宋_GB2312"/>
          <w:sz w:val="32"/>
          <w:szCs w:val="32"/>
        </w:rPr>
        <w:t>国际文化旅游示范区</w:t>
      </w:r>
      <w:r>
        <w:rPr>
          <w:rFonts w:hint="eastAsia" w:ascii="仿宋_GB2312" w:eastAsia="仿宋_GB2312"/>
          <w:sz w:val="32"/>
          <w:szCs w:val="32"/>
        </w:rPr>
        <w:t>、</w:t>
      </w:r>
      <w:r>
        <w:rPr>
          <w:rFonts w:ascii="仿宋_GB2312" w:eastAsia="仿宋_GB2312"/>
          <w:sz w:val="32"/>
          <w:szCs w:val="32"/>
        </w:rPr>
        <w:t>大别山革命老区振兴发展</w:t>
      </w:r>
      <w:r>
        <w:rPr>
          <w:rFonts w:hint="eastAsia" w:ascii="Times New Roman" w:hAnsi="Times New Roman" w:eastAsia="仿宋_GB2312"/>
          <w:sz w:val="32"/>
          <w:szCs w:val="32"/>
        </w:rPr>
        <w:t>多项重大战略叠加发力，有助于我市依托高能级平台</w:t>
      </w:r>
      <w:r>
        <w:rPr>
          <w:rFonts w:hint="eastAsia" w:ascii="仿宋_GB2312" w:eastAsia="仿宋_GB2312"/>
          <w:sz w:val="32"/>
          <w:szCs w:val="32"/>
        </w:rPr>
        <w:t>全方位扩大开放合作</w:t>
      </w:r>
      <w:r>
        <w:rPr>
          <w:rFonts w:hint="eastAsia" w:ascii="Times New Roman" w:hAnsi="Times New Roman" w:eastAsia="仿宋_GB2312"/>
          <w:sz w:val="32"/>
          <w:szCs w:val="32"/>
        </w:rPr>
        <w:t>；</w:t>
      </w:r>
      <w:r>
        <w:rPr>
          <w:rFonts w:hint="eastAsia" w:ascii="仿宋_GB2312" w:eastAsia="仿宋_GB2312"/>
          <w:sz w:val="32"/>
          <w:szCs w:val="32"/>
        </w:rPr>
        <w:t>桐城是合肥都市圈南部重要支点，合安高铁、引江济淮、德上高速、桐城</w:t>
      </w:r>
      <w:r>
        <w:rPr>
          <w:rFonts w:ascii="仿宋_GB2312" w:eastAsia="仿宋_GB2312"/>
          <w:sz w:val="32"/>
          <w:szCs w:val="32"/>
        </w:rPr>
        <w:t>通用机场、合肥都市圈市郊铁路</w:t>
      </w:r>
      <w:r>
        <w:rPr>
          <w:rFonts w:hint="eastAsia" w:ascii="仿宋_GB2312" w:eastAsia="仿宋_GB2312"/>
          <w:sz w:val="32"/>
          <w:szCs w:val="32"/>
        </w:rPr>
        <w:t>等重大基础设施相继建设，外张内联能力进一步增强，有助于我市深度参与合肥都市圈建设，实现高效联动和等高对接；</w:t>
      </w:r>
      <w:r>
        <w:rPr>
          <w:rFonts w:hint="eastAsia" w:ascii="Times New Roman" w:hAnsi="Times New Roman" w:eastAsia="仿宋_GB2312"/>
          <w:sz w:val="32"/>
          <w:szCs w:val="32"/>
        </w:rPr>
        <w:t>桐城是</w:t>
      </w:r>
      <w:r>
        <w:rPr>
          <w:rFonts w:hint="eastAsia" w:ascii="仿宋_GB2312" w:eastAsia="仿宋_GB2312"/>
          <w:sz w:val="32"/>
          <w:szCs w:val="32"/>
        </w:rPr>
        <w:t>中国文都、院士之乡，</w:t>
      </w:r>
      <w:r>
        <w:rPr>
          <w:rFonts w:hint="eastAsia" w:ascii="Times New Roman" w:hAnsi="Times New Roman" w:eastAsia="仿宋_GB2312"/>
          <w:sz w:val="32"/>
          <w:szCs w:val="32"/>
        </w:rPr>
        <w:t>桐城文化享誉全国，</w:t>
      </w:r>
      <w:r>
        <w:rPr>
          <w:rFonts w:hint="eastAsia" w:ascii="仿宋_GB2312" w:eastAsia="仿宋_GB2312"/>
          <w:sz w:val="32"/>
          <w:szCs w:val="32"/>
        </w:rPr>
        <w:t>有助于我市发挥</w:t>
      </w:r>
      <w:r>
        <w:rPr>
          <w:rFonts w:ascii="Times New Roman" w:hAnsi="Times New Roman" w:eastAsia="仿宋_GB2312"/>
          <w:sz w:val="32"/>
          <w:szCs w:val="32"/>
        </w:rPr>
        <w:t>人文资源</w:t>
      </w:r>
      <w:r>
        <w:rPr>
          <w:rFonts w:hint="eastAsia" w:ascii="Times New Roman" w:hAnsi="Times New Roman" w:eastAsia="仿宋_GB2312"/>
          <w:sz w:val="32"/>
          <w:szCs w:val="32"/>
        </w:rPr>
        <w:t>优势</w:t>
      </w:r>
      <w:r>
        <w:rPr>
          <w:rFonts w:hint="eastAsia" w:ascii="仿宋_GB2312" w:eastAsia="仿宋_GB2312"/>
          <w:sz w:val="32"/>
          <w:szCs w:val="32"/>
        </w:rPr>
        <w:t>，提升文化软实力，培育发展新动能；</w:t>
      </w:r>
      <w:r>
        <w:rPr>
          <w:rFonts w:ascii="仿宋_GB2312" w:eastAsia="仿宋_GB2312"/>
          <w:sz w:val="32"/>
          <w:szCs w:val="32"/>
        </w:rPr>
        <w:t>新一轮</w:t>
      </w:r>
      <w:r>
        <w:rPr>
          <w:rFonts w:hint="eastAsia" w:ascii="仿宋_GB2312" w:eastAsia="仿宋_GB2312"/>
          <w:sz w:val="32"/>
          <w:szCs w:val="32"/>
        </w:rPr>
        <w:t>科技革命加速演进，有助于我市抢抓全球创新迭代战略机遇，</w:t>
      </w:r>
      <w:r>
        <w:rPr>
          <w:rFonts w:hint="eastAsia" w:ascii="Times New Roman" w:hAnsi="Times New Roman" w:eastAsia="仿宋_GB2312"/>
          <w:sz w:val="32"/>
          <w:szCs w:val="32"/>
        </w:rPr>
        <w:t>强化科技赋能</w:t>
      </w:r>
      <w:r>
        <w:rPr>
          <w:rFonts w:hint="eastAsia" w:ascii="仿宋_GB2312" w:eastAsia="仿宋_GB2312"/>
          <w:sz w:val="32"/>
          <w:szCs w:val="32"/>
        </w:rPr>
        <w:t>，实现工业强市再升级，厚植发展新优势；</w:t>
      </w:r>
      <w:r>
        <w:rPr>
          <w:rFonts w:hint="eastAsia" w:ascii="Times New Roman" w:hAnsi="Times New Roman" w:eastAsia="仿宋_GB2312"/>
          <w:sz w:val="32"/>
          <w:szCs w:val="32"/>
        </w:rPr>
        <w:t>“两新一重”建设精准发力，有助于我市依托新型城镇化发展基础，</w:t>
      </w:r>
      <w:r>
        <w:rPr>
          <w:rFonts w:eastAsia="仿宋_GB2312"/>
          <w:sz w:val="32"/>
          <w:szCs w:val="32"/>
        </w:rPr>
        <w:t>集聚要素资源，</w:t>
      </w:r>
      <w:r>
        <w:rPr>
          <w:rFonts w:hint="eastAsia" w:ascii="Times New Roman" w:hAnsi="Times New Roman" w:eastAsia="仿宋_GB2312"/>
          <w:sz w:val="32"/>
          <w:szCs w:val="32"/>
        </w:rPr>
        <w:t>提升</w:t>
      </w:r>
      <w:r>
        <w:rPr>
          <w:rFonts w:ascii="Times New Roman" w:hAnsi="Times New Roman" w:eastAsia="仿宋_GB2312"/>
          <w:sz w:val="32"/>
          <w:szCs w:val="32"/>
        </w:rPr>
        <w:t>城市能级</w:t>
      </w:r>
      <w:r>
        <w:rPr>
          <w:rFonts w:hint="eastAsia" w:ascii="Times New Roman" w:hAnsi="Times New Roman" w:eastAsia="仿宋_GB2312"/>
          <w:sz w:val="32"/>
          <w:szCs w:val="32"/>
        </w:rPr>
        <w:t>；生态文明建设持续推进，有助于我市打通绿水青山转化为金山银山的有效通道，让人民群众享有更多生态福祉。</w:t>
      </w:r>
    </w:p>
    <w:p w14:paraId="1F9A2C00">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在充分认识发展优势的同时，我们也要清醒地认识到我市发展不平衡不充分问题依然存在，仍面临着诸多矛盾叠加、潜在风险增多等严峻挑战。民营企业和中小企业占比高，大企业较少，营商环境仍有短板，产业竞争力有待增强；战略性新兴产业和现代服务业占比较低，产业结构调整任务艰巨；大城市“虹吸效应”和周边县市同质化竞争压力较大，区域竞争日趋激烈；资源约束日益趋紧，生态环保仍需发力；教育、医疗、养老、托育等基本公共服务水平有待加强，社会治理还有弱项。</w:t>
      </w:r>
    </w:p>
    <w:p w14:paraId="4A1B6FE0">
      <w:pPr>
        <w:ind w:firstLine="640" w:firstLineChars="200"/>
        <w:rPr>
          <w:rFonts w:ascii="Times New Roman" w:hAnsi="Times New Roman" w:eastAsia="仿宋_GB2312"/>
          <w:sz w:val="32"/>
          <w:szCs w:val="32"/>
        </w:rPr>
      </w:pPr>
      <w:r>
        <w:rPr>
          <w:rFonts w:ascii="Times New Roman" w:hAnsi="Times New Roman" w:eastAsia="仿宋_GB2312"/>
          <w:sz w:val="32"/>
          <w:szCs w:val="32"/>
        </w:rPr>
        <w:t>总体判断，“十四五”时期我市</w:t>
      </w:r>
      <w:r>
        <w:rPr>
          <w:rFonts w:hint="eastAsia" w:ascii="Times New Roman" w:hAnsi="Times New Roman" w:eastAsia="仿宋_GB2312"/>
          <w:sz w:val="32"/>
          <w:szCs w:val="32"/>
        </w:rPr>
        <w:t>仍处于重要</w:t>
      </w:r>
      <w:r>
        <w:rPr>
          <w:rFonts w:ascii="Times New Roman" w:hAnsi="Times New Roman" w:eastAsia="仿宋_GB2312"/>
          <w:sz w:val="32"/>
          <w:szCs w:val="32"/>
        </w:rPr>
        <w:t>战略机遇期，必须胸怀两个大局</w:t>
      </w:r>
      <w:r>
        <w:rPr>
          <w:rFonts w:hint="eastAsia" w:ascii="Times New Roman" w:hAnsi="Times New Roman" w:eastAsia="仿宋_GB2312"/>
          <w:sz w:val="32"/>
          <w:szCs w:val="32"/>
        </w:rPr>
        <w:t>，</w:t>
      </w:r>
      <w:r>
        <w:rPr>
          <w:rFonts w:ascii="Times New Roman" w:hAnsi="Times New Roman" w:eastAsia="仿宋_GB2312"/>
          <w:sz w:val="32"/>
          <w:szCs w:val="32"/>
        </w:rPr>
        <w:t>深刻认识新发展阶段带来的新方位新机遇</w:t>
      </w:r>
      <w:r>
        <w:rPr>
          <w:rFonts w:hint="eastAsia" w:ascii="Times New Roman" w:hAnsi="Times New Roman" w:eastAsia="仿宋_GB2312"/>
          <w:sz w:val="32"/>
          <w:szCs w:val="32"/>
        </w:rPr>
        <w:t>，</w:t>
      </w:r>
      <w:r>
        <w:rPr>
          <w:rFonts w:ascii="Times New Roman" w:hAnsi="Times New Roman" w:eastAsia="仿宋_GB2312"/>
          <w:sz w:val="32"/>
          <w:szCs w:val="32"/>
        </w:rPr>
        <w:t>深刻认识社会主要矛盾变化带来的新特征新要求</w:t>
      </w:r>
      <w:r>
        <w:rPr>
          <w:rFonts w:hint="eastAsia" w:ascii="Times New Roman" w:hAnsi="Times New Roman" w:eastAsia="仿宋_GB2312"/>
          <w:sz w:val="32"/>
          <w:szCs w:val="32"/>
        </w:rPr>
        <w:t>，</w:t>
      </w:r>
      <w:r>
        <w:rPr>
          <w:rFonts w:ascii="Times New Roman" w:hAnsi="Times New Roman" w:eastAsia="仿宋_GB2312"/>
          <w:sz w:val="32"/>
          <w:szCs w:val="32"/>
        </w:rPr>
        <w:t>深刻认识错综复杂的国际环境带来的新矛盾新挑战</w:t>
      </w:r>
      <w:r>
        <w:rPr>
          <w:rFonts w:hint="eastAsia" w:ascii="Times New Roman" w:hAnsi="Times New Roman" w:eastAsia="仿宋_GB2312"/>
          <w:sz w:val="32"/>
          <w:szCs w:val="32"/>
        </w:rPr>
        <w:t>，增强机遇意识和风险意识，坚持底线思维、保持战略定力，求真务实、锐意创新、准确识变、科学应变、主动求变，善于在危机中育先机、于变局中开新局，奋发有为办好自己的事</w:t>
      </w:r>
      <w:r>
        <w:rPr>
          <w:rFonts w:ascii="Times New Roman" w:hAnsi="Times New Roman" w:eastAsia="仿宋_GB2312"/>
          <w:sz w:val="32"/>
          <w:szCs w:val="32"/>
        </w:rPr>
        <w:t>。</w:t>
      </w:r>
    </w:p>
    <w:p w14:paraId="0800E33E">
      <w:pPr>
        <w:spacing w:before="100" w:beforeAutospacing="1" w:after="100" w:afterAutospacing="1"/>
        <w:jc w:val="center"/>
        <w:outlineLvl w:val="1"/>
        <w:rPr>
          <w:rFonts w:ascii="Times New Roman" w:hAnsi="Times New Roman" w:eastAsia="黑体"/>
          <w:sz w:val="32"/>
          <w:szCs w:val="32"/>
        </w:rPr>
      </w:pPr>
      <w:bookmarkStart w:id="7" w:name="_Toc28091"/>
      <w:r>
        <w:rPr>
          <w:rFonts w:ascii="Times New Roman" w:hAnsi="Times New Roman" w:eastAsia="黑体"/>
          <w:sz w:val="32"/>
          <w:szCs w:val="32"/>
        </w:rPr>
        <w:t>第三节</w:t>
      </w:r>
      <w:r>
        <w:rPr>
          <w:rFonts w:hint="eastAsia" w:ascii="Times New Roman" w:hAnsi="Times New Roman" w:eastAsia="黑体"/>
          <w:sz w:val="32"/>
          <w:szCs w:val="32"/>
          <w:lang w:val="en-US" w:eastAsia="zh-CN"/>
        </w:rPr>
        <w:t xml:space="preserve"> </w:t>
      </w:r>
      <w:r>
        <w:rPr>
          <w:rFonts w:ascii="Times New Roman" w:hAnsi="Times New Roman" w:eastAsia="黑体"/>
          <w:sz w:val="32"/>
          <w:szCs w:val="32"/>
        </w:rPr>
        <w:t>“十四五”发展思路</w:t>
      </w:r>
      <w:bookmarkEnd w:id="6"/>
      <w:bookmarkEnd w:id="7"/>
    </w:p>
    <w:p w14:paraId="5F4509C2">
      <w:pPr>
        <w:ind w:firstLine="643" w:firstLineChars="200"/>
        <w:rPr>
          <w:rFonts w:ascii="Times New Roman" w:hAnsi="Times New Roman" w:eastAsia="仿宋_GB2312"/>
          <w:sz w:val="32"/>
          <w:szCs w:val="32"/>
        </w:rPr>
      </w:pPr>
      <w:r>
        <w:rPr>
          <w:rFonts w:ascii="Times New Roman" w:hAnsi="Times New Roman" w:eastAsia="仿宋_GB2312"/>
          <w:b/>
          <w:sz w:val="32"/>
          <w:szCs w:val="32"/>
        </w:rPr>
        <w:t>指导思想。</w:t>
      </w:r>
      <w:r>
        <w:rPr>
          <w:rFonts w:hint="eastAsia" w:ascii="Times New Roman" w:hAnsi="Times New Roman" w:eastAsia="仿宋_GB2312"/>
          <w:sz w:val="32"/>
          <w:szCs w:val="32"/>
        </w:rPr>
        <w:t>高举中国特色社会主义伟大旗帜，深入贯彻党的十九大和十九届二中、三中、四中、五中全会精神，坚持以马克思列宁主义、毛泽东思想、邓小平理论、“三个代表”重要思想、科学发展观、习近平新时代中国特色社会主义思想为指导，</w:t>
      </w:r>
      <w:r>
        <w:rPr>
          <w:rFonts w:hint="eastAsia" w:ascii="Times New Roman" w:hAnsi="Times New Roman" w:eastAsia="仿宋_GB2312"/>
          <w:sz w:val="32"/>
          <w:szCs w:val="32"/>
          <w:lang w:val="en-US" w:eastAsia="zh-CN"/>
        </w:rPr>
        <w:t>认真</w:t>
      </w:r>
      <w:r>
        <w:rPr>
          <w:rFonts w:hint="eastAsia" w:ascii="Times New Roman" w:hAnsi="Times New Roman" w:eastAsia="仿宋_GB2312"/>
          <w:sz w:val="32"/>
          <w:szCs w:val="32"/>
        </w:rPr>
        <w:t>贯彻落实习近平总书记考察安徽重要讲话指示精神，全面贯彻党的基本理论、基本路线、基本方略，统筹推进“五位一体”总体布局，协调推进“四个全面”战略布局，科学把握新发展阶段，坚决贯彻新发展理念，服务构建新发展格局，坚持稳中求进工作总基调，以推动高质量发展为主题，以深化供给侧结构性改革为主线，以改革创新为根本动力，以满足人民日益增长的美好生活需要为根本目的，统筹发展和安全，加快建设现代化经济体系，推进</w:t>
      </w:r>
      <w:r>
        <w:rPr>
          <w:rFonts w:hint="eastAsia" w:ascii="Times New Roman" w:hAnsi="Times New Roman" w:eastAsia="仿宋_GB2312"/>
          <w:sz w:val="32"/>
          <w:szCs w:val="32"/>
          <w:lang w:eastAsia="zh-CN"/>
        </w:rPr>
        <w:t>国家</w:t>
      </w:r>
      <w:r>
        <w:rPr>
          <w:rFonts w:hint="eastAsia" w:ascii="Times New Roman" w:hAnsi="Times New Roman" w:eastAsia="仿宋_GB2312"/>
          <w:sz w:val="32"/>
          <w:szCs w:val="32"/>
        </w:rPr>
        <w:t>治理体系和治理能力现代化，实现经济跨越发展、社会安定和谐，奋力在构建以国内大循环为主体、国内国际双循环相互促进的新发展格局中实现更大作为，在加快建设新阶段现代化美好桐城上取得新的更大进展，为我市社会主义现代化建设新征程开好局、起好步。</w:t>
      </w:r>
    </w:p>
    <w:p w14:paraId="0972B6BF">
      <w:pPr>
        <w:ind w:firstLine="643" w:firstLineChars="200"/>
        <w:rPr>
          <w:rFonts w:ascii="Times New Roman" w:hAnsi="Times New Roman" w:eastAsia="仿宋_GB2312"/>
          <w:sz w:val="32"/>
          <w:szCs w:val="32"/>
        </w:rPr>
      </w:pPr>
      <w:r>
        <w:rPr>
          <w:rFonts w:ascii="Times New Roman" w:hAnsi="Times New Roman" w:eastAsia="仿宋_GB2312"/>
          <w:b/>
          <w:sz w:val="32"/>
          <w:szCs w:val="32"/>
        </w:rPr>
        <w:t>基本原则。</w:t>
      </w:r>
      <w:r>
        <w:rPr>
          <w:rFonts w:ascii="Times New Roman" w:hAnsi="Times New Roman" w:eastAsia="仿宋_GB2312"/>
          <w:sz w:val="32"/>
          <w:szCs w:val="32"/>
        </w:rPr>
        <w:t>落实上述指导思想，要把握正确策略和方法，着重坚持以下原则：</w:t>
      </w:r>
    </w:p>
    <w:p w14:paraId="3D890644">
      <w:pPr>
        <w:pStyle w:val="32"/>
        <w:spacing w:line="620" w:lineRule="exact"/>
        <w:ind w:firstLine="675" w:firstLineChars="200"/>
        <w:rPr>
          <w:rFonts w:ascii="仿宋_GB2312" w:hAnsi="Microsoft YaHei UI" w:eastAsia="仿宋_GB2312"/>
          <w:spacing w:val="8"/>
          <w:sz w:val="32"/>
          <w:szCs w:val="32"/>
        </w:rPr>
      </w:pPr>
      <w:r>
        <w:rPr>
          <w:rStyle w:val="22"/>
          <w:rFonts w:hint="eastAsia" w:ascii="仿宋_GB2312" w:hAnsi="Microsoft YaHei UI" w:eastAsia="仿宋_GB2312"/>
          <w:spacing w:val="8"/>
          <w:sz w:val="32"/>
          <w:szCs w:val="32"/>
        </w:rPr>
        <w:t>——坚持党的全面领导。</w:t>
      </w:r>
      <w:r>
        <w:rPr>
          <w:rFonts w:hint="eastAsia" w:ascii="仿宋_GB2312" w:hAnsi="Microsoft YaHei UI" w:eastAsia="仿宋_GB2312"/>
          <w:spacing w:val="8"/>
          <w:sz w:val="32"/>
          <w:szCs w:val="32"/>
        </w:rPr>
        <w:t>坚持和完善党领导经济社会发展的体制机制，坚持和完善中国特色社会主义制度，不断提高贯彻新发展理念、服务构建新发展格局能力和水平，为新阶段现代化美好桐城建设提供根本保证。</w:t>
      </w:r>
    </w:p>
    <w:p w14:paraId="3C20D4B9">
      <w:pPr>
        <w:pStyle w:val="32"/>
        <w:spacing w:line="620" w:lineRule="exact"/>
        <w:ind w:firstLine="675" w:firstLineChars="200"/>
        <w:rPr>
          <w:rFonts w:ascii="仿宋_GB2312" w:eastAsia="仿宋_GB2312"/>
          <w:sz w:val="32"/>
          <w:szCs w:val="32"/>
        </w:rPr>
      </w:pPr>
      <w:r>
        <w:rPr>
          <w:rStyle w:val="22"/>
          <w:rFonts w:hint="eastAsia" w:ascii="仿宋_GB2312" w:hAnsi="Microsoft YaHei UI" w:eastAsia="仿宋_GB2312"/>
          <w:spacing w:val="8"/>
          <w:sz w:val="32"/>
          <w:szCs w:val="32"/>
        </w:rPr>
        <w:t>——坚持以人民为中心。</w:t>
      </w:r>
      <w:r>
        <w:rPr>
          <w:rFonts w:hint="eastAsia" w:ascii="仿宋_GB2312" w:hAnsi="Microsoft YaHei UI" w:eastAsia="仿宋_GB2312"/>
          <w:spacing w:val="8"/>
          <w:sz w:val="32"/>
          <w:szCs w:val="32"/>
        </w:rPr>
        <w:t>坚持人民主体地位，坚持共同富裕方向，始终做到发展为了人民、发展依靠人民、发展成果由人民共享，维护人民根本利益，激发全体人民积极性、主动性、创造性，促进社会公平，增进民生福祉，不断实现人民对美好生活的向往。</w:t>
      </w:r>
    </w:p>
    <w:p w14:paraId="27527C00">
      <w:pPr>
        <w:pStyle w:val="17"/>
        <w:shd w:val="clear" w:color="auto" w:fill="FFFFFF"/>
        <w:spacing w:before="0" w:beforeAutospacing="0" w:after="0" w:afterAutospacing="0" w:line="620" w:lineRule="exact"/>
        <w:ind w:firstLine="675" w:firstLineChars="200"/>
        <w:jc w:val="both"/>
        <w:rPr>
          <w:rFonts w:ascii="仿宋_GB2312" w:hAnsi="Microsoft YaHei UI" w:eastAsia="仿宋_GB2312"/>
          <w:spacing w:val="8"/>
          <w:sz w:val="32"/>
          <w:szCs w:val="32"/>
        </w:rPr>
      </w:pPr>
      <w:r>
        <w:rPr>
          <w:rStyle w:val="22"/>
          <w:rFonts w:hint="eastAsia" w:ascii="仿宋_GB2312" w:hAnsi="Microsoft YaHei UI" w:eastAsia="仿宋_GB2312"/>
          <w:spacing w:val="8"/>
          <w:sz w:val="32"/>
          <w:szCs w:val="32"/>
        </w:rPr>
        <w:t>——坚持新发展理念。</w:t>
      </w:r>
      <w:r>
        <w:rPr>
          <w:rFonts w:hint="eastAsia" w:ascii="仿宋_GB2312" w:hAnsi="Microsoft YaHei UI" w:eastAsia="仿宋_GB2312"/>
          <w:spacing w:val="8"/>
          <w:sz w:val="32"/>
          <w:szCs w:val="32"/>
        </w:rPr>
        <w:t>把新发展理念贯穿新阶段现代化美好桐城建设全过程和各领域，服务构建新发展格局，切实转变发展方式，推动质量变革、效率变革、动力变革，实现更高质量、更有效率、更加公平、更可持续、更为安全的发展。</w:t>
      </w:r>
    </w:p>
    <w:p w14:paraId="42F0AC42">
      <w:pPr>
        <w:pStyle w:val="17"/>
        <w:shd w:val="clear" w:color="auto" w:fill="FFFFFF"/>
        <w:spacing w:before="0" w:beforeAutospacing="0" w:after="0" w:afterAutospacing="0" w:line="620" w:lineRule="exact"/>
        <w:ind w:firstLine="675" w:firstLineChars="200"/>
        <w:jc w:val="both"/>
        <w:rPr>
          <w:rFonts w:ascii="仿宋_GB2312" w:hAnsi="Microsoft YaHei UI" w:eastAsia="仿宋_GB2312"/>
          <w:spacing w:val="8"/>
          <w:sz w:val="32"/>
          <w:szCs w:val="32"/>
        </w:rPr>
      </w:pPr>
      <w:r>
        <w:rPr>
          <w:rStyle w:val="22"/>
          <w:rFonts w:hint="eastAsia" w:ascii="仿宋_GB2312" w:hAnsi="Microsoft YaHei UI" w:eastAsia="仿宋_GB2312"/>
          <w:spacing w:val="8"/>
          <w:sz w:val="32"/>
          <w:szCs w:val="32"/>
        </w:rPr>
        <w:t>——坚持创新核心地位。</w:t>
      </w:r>
      <w:r>
        <w:rPr>
          <w:rFonts w:hint="eastAsia" w:ascii="仿宋_GB2312" w:hAnsi="Microsoft YaHei UI" w:eastAsia="仿宋_GB2312"/>
          <w:spacing w:val="8"/>
          <w:sz w:val="32"/>
          <w:szCs w:val="32"/>
        </w:rPr>
        <w:t>把发展基点放在创新上，加快推进以科技创新为核心的全面创新，贯通第一要务、第一资源、第一动力，塑造更多依靠创新驱动、更多发挥先发优势的引领型发展。</w:t>
      </w:r>
    </w:p>
    <w:p w14:paraId="3B54A7F6">
      <w:pPr>
        <w:pStyle w:val="17"/>
        <w:shd w:val="clear" w:color="auto" w:fill="FFFFFF"/>
        <w:spacing w:before="0" w:beforeAutospacing="0" w:after="0" w:afterAutospacing="0" w:line="620" w:lineRule="exact"/>
        <w:ind w:firstLine="675" w:firstLineChars="200"/>
        <w:jc w:val="both"/>
        <w:rPr>
          <w:rFonts w:ascii="仿宋_GB2312" w:hAnsi="Microsoft YaHei UI" w:eastAsia="仿宋_GB2312"/>
          <w:spacing w:val="8"/>
          <w:sz w:val="32"/>
          <w:szCs w:val="32"/>
        </w:rPr>
      </w:pPr>
      <w:r>
        <w:rPr>
          <w:rStyle w:val="22"/>
          <w:rFonts w:hint="eastAsia" w:ascii="仿宋_GB2312" w:hAnsi="Microsoft YaHei UI" w:eastAsia="仿宋_GB2312"/>
          <w:spacing w:val="8"/>
          <w:sz w:val="32"/>
          <w:szCs w:val="32"/>
        </w:rPr>
        <w:t>——坚持深化改革开放。</w:t>
      </w:r>
      <w:r>
        <w:rPr>
          <w:rFonts w:hint="eastAsia" w:ascii="仿宋_GB2312" w:hAnsi="Microsoft YaHei UI" w:eastAsia="仿宋_GB2312"/>
          <w:spacing w:val="8"/>
          <w:sz w:val="32"/>
          <w:szCs w:val="32"/>
        </w:rPr>
        <w:t>大力弘扬改革创新精神，坚定不移推进改革、扩大开放，主动服务融入国家区域重大战略，加强治理体系和治理能力现代化建设，破除制约高质量发展、高品质生活的体制机制障碍，强化有利于提高资源配置效率、有利于调动全社会积极性的重大改革开放举措，持续增强发展动力和活力。</w:t>
      </w:r>
    </w:p>
    <w:p w14:paraId="0BFE67E4">
      <w:pPr>
        <w:pStyle w:val="17"/>
        <w:shd w:val="clear" w:color="auto" w:fill="FFFFFF"/>
        <w:spacing w:before="0" w:beforeAutospacing="0" w:after="0" w:afterAutospacing="0" w:line="620" w:lineRule="exact"/>
        <w:ind w:firstLine="675" w:firstLineChars="200"/>
        <w:jc w:val="both"/>
        <w:rPr>
          <w:rFonts w:ascii="仿宋_GB2312" w:hAnsi="Microsoft YaHei UI" w:eastAsia="仿宋_GB2312"/>
          <w:spacing w:val="8"/>
          <w:sz w:val="32"/>
          <w:szCs w:val="32"/>
        </w:rPr>
      </w:pPr>
      <w:r>
        <w:rPr>
          <w:rStyle w:val="22"/>
          <w:rFonts w:hint="eastAsia" w:ascii="仿宋_GB2312" w:hAnsi="Microsoft YaHei UI" w:eastAsia="仿宋_GB2312"/>
          <w:spacing w:val="8"/>
          <w:sz w:val="32"/>
          <w:szCs w:val="32"/>
        </w:rPr>
        <w:t>——坚持实体经济主攻方向。</w:t>
      </w:r>
      <w:r>
        <w:rPr>
          <w:rFonts w:hint="eastAsia" w:ascii="仿宋_GB2312" w:hAnsi="Microsoft YaHei UI" w:eastAsia="仿宋_GB2312"/>
          <w:spacing w:val="8"/>
          <w:sz w:val="32"/>
          <w:szCs w:val="32"/>
        </w:rPr>
        <w:t>把发展经济着力点放在实体经济上，扎实推进供给侧结构性改革，加快发展现代产业体系，完善落实支持实体经济发展政策，构建金融有效支持实体经济的体制机制，创新服务企业方式和制度，持续优化营商环境，促进实体经济平稳健康发展。</w:t>
      </w:r>
    </w:p>
    <w:p w14:paraId="0A55C3BA">
      <w:pPr>
        <w:pStyle w:val="17"/>
        <w:shd w:val="clear" w:color="auto" w:fill="FFFFFF"/>
        <w:spacing w:before="0" w:beforeAutospacing="0" w:after="0" w:afterAutospacing="0" w:line="620" w:lineRule="exact"/>
        <w:ind w:firstLine="675" w:firstLineChars="200"/>
        <w:jc w:val="both"/>
        <w:rPr>
          <w:rFonts w:ascii="仿宋_GB2312" w:hAnsi="Microsoft YaHei UI" w:eastAsia="仿宋_GB2312"/>
          <w:spacing w:val="8"/>
          <w:sz w:val="32"/>
          <w:szCs w:val="32"/>
        </w:rPr>
      </w:pPr>
      <w:r>
        <w:rPr>
          <w:rStyle w:val="22"/>
          <w:rFonts w:hint="eastAsia" w:ascii="仿宋_GB2312" w:hAnsi="Microsoft YaHei UI" w:eastAsia="仿宋_GB2312"/>
          <w:spacing w:val="8"/>
          <w:sz w:val="32"/>
          <w:szCs w:val="32"/>
        </w:rPr>
        <w:t>——坚持系统观念。</w:t>
      </w:r>
      <w:r>
        <w:rPr>
          <w:rFonts w:hint="eastAsia" w:ascii="仿宋_GB2312" w:hAnsi="Microsoft YaHei UI" w:eastAsia="仿宋_GB2312"/>
          <w:spacing w:val="8"/>
          <w:sz w:val="32"/>
          <w:szCs w:val="32"/>
        </w:rPr>
        <w:t>加强前瞻性思考、全局性谋划、战略性布局、整体性推进，统筹国内国际两个大局，办好发展安全两件大事，坚持全国一盘棋、长三角一体化，着力固根基、扬优势、补短板、强弱项，注重防范化解重大风险挑战，实现发展质量、结构、规模、速度、效益、安全相统一。</w:t>
      </w:r>
    </w:p>
    <w:p w14:paraId="00083D29">
      <w:pPr>
        <w:ind w:firstLine="643" w:firstLineChars="200"/>
        <w:jc w:val="left"/>
        <w:rPr>
          <w:rFonts w:ascii="Times New Roman" w:hAnsi="Times New Roman" w:eastAsia="仿宋_GB2312"/>
          <w:b/>
          <w:sz w:val="32"/>
          <w:szCs w:val="40"/>
        </w:rPr>
      </w:pPr>
      <w:r>
        <w:rPr>
          <w:rFonts w:ascii="Times New Roman" w:hAnsi="Times New Roman" w:eastAsia="仿宋_GB2312"/>
          <w:b/>
          <w:sz w:val="32"/>
          <w:szCs w:val="32"/>
        </w:rPr>
        <w:t>发展定位。</w:t>
      </w:r>
      <w:r>
        <w:rPr>
          <w:rFonts w:ascii="Times New Roman" w:hAnsi="Times New Roman" w:eastAsia="仿宋_GB2312"/>
          <w:sz w:val="32"/>
          <w:szCs w:val="32"/>
        </w:rPr>
        <w:t>紧紧把握新时代发展趋势，立足桐城资源禀赋和产业基础，提出“十四五”桐城市发展定位为：</w:t>
      </w:r>
      <w:r>
        <w:rPr>
          <w:rFonts w:ascii="Times New Roman" w:hAnsi="Times New Roman" w:eastAsia="仿宋_GB2312"/>
          <w:sz w:val="32"/>
          <w:szCs w:val="40"/>
        </w:rPr>
        <w:t>全国</w:t>
      </w:r>
      <w:r>
        <w:rPr>
          <w:rFonts w:hint="eastAsia" w:ascii="Times New Roman" w:hAnsi="Times New Roman" w:eastAsia="仿宋_GB2312"/>
          <w:sz w:val="32"/>
          <w:szCs w:val="40"/>
        </w:rPr>
        <w:t>具</w:t>
      </w:r>
      <w:r>
        <w:rPr>
          <w:rFonts w:ascii="Times New Roman" w:hAnsi="Times New Roman" w:eastAsia="仿宋_GB2312"/>
          <w:sz w:val="32"/>
          <w:szCs w:val="40"/>
        </w:rPr>
        <w:t>有重要影响力的历史文化名城、长三角具有竞争力的先进制造业基地、全省县域振兴样板区、合肥都市圈南部副中心。</w:t>
      </w:r>
    </w:p>
    <w:p w14:paraId="459CD5B1">
      <w:pPr>
        <w:ind w:firstLine="643" w:firstLineChars="200"/>
        <w:rPr>
          <w:rFonts w:ascii="Times New Roman" w:hAnsi="Times New Roman" w:eastAsia="仿宋_GB2312"/>
          <w:b/>
          <w:sz w:val="32"/>
          <w:szCs w:val="40"/>
        </w:rPr>
      </w:pPr>
      <w:r>
        <w:rPr>
          <w:rFonts w:ascii="Times New Roman" w:hAnsi="Times New Roman" w:eastAsia="仿宋_GB2312"/>
          <w:b/>
          <w:sz w:val="32"/>
          <w:szCs w:val="40"/>
        </w:rPr>
        <w:t>——全国</w:t>
      </w:r>
      <w:r>
        <w:rPr>
          <w:rFonts w:hint="eastAsia" w:ascii="Times New Roman" w:hAnsi="Times New Roman" w:eastAsia="仿宋_GB2312"/>
          <w:b/>
          <w:sz w:val="32"/>
          <w:szCs w:val="40"/>
        </w:rPr>
        <w:t>具</w:t>
      </w:r>
      <w:r>
        <w:rPr>
          <w:rFonts w:ascii="Times New Roman" w:hAnsi="Times New Roman" w:eastAsia="仿宋_GB2312"/>
          <w:b/>
          <w:sz w:val="32"/>
          <w:szCs w:val="40"/>
        </w:rPr>
        <w:t>有重要影响力的历史文化名城。</w:t>
      </w:r>
      <w:r>
        <w:rPr>
          <w:rFonts w:ascii="Times New Roman" w:hAnsi="Times New Roman" w:eastAsia="仿宋_GB2312"/>
          <w:sz w:val="32"/>
          <w:szCs w:val="32"/>
        </w:rPr>
        <w:t>深入挖掘桐城派文化底蕴，加强文化资源的科学保护、世代传承、合理利用，整合全市文化遗产和山水田园资源，加快桐城文化与全域旅游、乡村旅游、教育培训、生态农业等产业融合发展，将桐城打造成为全国有重要影响力的历史文化名城。</w:t>
      </w:r>
    </w:p>
    <w:p w14:paraId="3285CE9A">
      <w:pPr>
        <w:ind w:firstLine="643" w:firstLineChars="200"/>
        <w:rPr>
          <w:rFonts w:ascii="Times New Roman" w:hAnsi="Times New Roman" w:eastAsia="仿宋_GB2312"/>
          <w:b/>
          <w:sz w:val="32"/>
          <w:szCs w:val="40"/>
        </w:rPr>
      </w:pPr>
      <w:r>
        <w:rPr>
          <w:rFonts w:ascii="Times New Roman" w:hAnsi="Times New Roman" w:eastAsia="仿宋_GB2312"/>
          <w:b/>
          <w:sz w:val="32"/>
          <w:szCs w:val="40"/>
        </w:rPr>
        <w:t>——长三角具有竞争力的先进制造业基地。</w:t>
      </w:r>
      <w:r>
        <w:rPr>
          <w:rFonts w:ascii="Times New Roman" w:hAnsi="Times New Roman" w:eastAsia="仿宋_GB2312"/>
          <w:sz w:val="32"/>
          <w:szCs w:val="40"/>
        </w:rPr>
        <w:t>依托桐城制造业基础，瞄准科技前沿和长三角世界级产业集群产业配套需求，着力打造以智能装备、绿色包装、新能源新材料等为特色的先进制造业基地。</w:t>
      </w:r>
    </w:p>
    <w:p w14:paraId="58304A39">
      <w:pPr>
        <w:ind w:firstLine="643" w:firstLineChars="200"/>
        <w:rPr>
          <w:rFonts w:ascii="Times New Roman" w:hAnsi="Times New Roman" w:eastAsia="仿宋_GB2312"/>
          <w:sz w:val="32"/>
          <w:szCs w:val="40"/>
        </w:rPr>
      </w:pPr>
      <w:r>
        <w:rPr>
          <w:rFonts w:ascii="Times New Roman" w:hAnsi="Times New Roman" w:eastAsia="仿宋_GB2312"/>
          <w:b/>
          <w:sz w:val="32"/>
          <w:szCs w:val="40"/>
        </w:rPr>
        <w:t>——全省县域振兴样板区。</w:t>
      </w:r>
      <w:r>
        <w:rPr>
          <w:rFonts w:ascii="Times New Roman" w:hAnsi="Times New Roman" w:eastAsia="仿宋_GB2312"/>
          <w:sz w:val="32"/>
          <w:szCs w:val="40"/>
        </w:rPr>
        <w:t>依托桐城市经济发展基础，培育壮大县域特色产业集群，提升县域基础设施建设和公共服务保障能力，打造成为全省率先实现与苏浙县域经济对标发展的样板区。</w:t>
      </w:r>
    </w:p>
    <w:p w14:paraId="5AC3C737">
      <w:pPr>
        <w:ind w:firstLine="643" w:firstLineChars="200"/>
        <w:rPr>
          <w:rFonts w:ascii="Times New Roman" w:hAnsi="Times New Roman" w:eastAsia="仿宋_GB2312"/>
          <w:color w:val="FF0000"/>
          <w:sz w:val="32"/>
          <w:szCs w:val="40"/>
        </w:rPr>
      </w:pPr>
      <w:r>
        <w:rPr>
          <w:rFonts w:ascii="Times New Roman" w:hAnsi="Times New Roman" w:eastAsia="仿宋_GB2312"/>
          <w:b/>
          <w:sz w:val="32"/>
          <w:szCs w:val="40"/>
        </w:rPr>
        <w:t>——合肥都市圈南部副中心。</w:t>
      </w:r>
      <w:r>
        <w:rPr>
          <w:rFonts w:ascii="Times New Roman" w:hAnsi="Times New Roman" w:eastAsia="仿宋_GB2312"/>
          <w:sz w:val="32"/>
          <w:szCs w:val="40"/>
        </w:rPr>
        <w:t>加速融入合肥都市圈，等高对接合肥等核心城市，推动区域全方位合作。进一步提升桐城市的竞争实力和战略地位，</w:t>
      </w:r>
      <w:r>
        <w:rPr>
          <w:rFonts w:hint="eastAsia" w:ascii="Times New Roman" w:hAnsi="Times New Roman" w:eastAsia="仿宋_GB2312"/>
          <w:sz w:val="32"/>
          <w:szCs w:val="40"/>
        </w:rPr>
        <w:t>建</w:t>
      </w:r>
      <w:r>
        <w:rPr>
          <w:rFonts w:ascii="Times New Roman" w:hAnsi="Times New Roman" w:eastAsia="仿宋_GB2312"/>
          <w:sz w:val="32"/>
          <w:szCs w:val="40"/>
        </w:rPr>
        <w:t>成</w:t>
      </w:r>
      <w:r>
        <w:rPr>
          <w:rFonts w:hint="eastAsia" w:ascii="Times New Roman" w:hAnsi="Times New Roman" w:eastAsia="仿宋_GB2312"/>
          <w:sz w:val="32"/>
          <w:szCs w:val="40"/>
        </w:rPr>
        <w:t>安庆市对接</w:t>
      </w:r>
      <w:r>
        <w:rPr>
          <w:rFonts w:ascii="Times New Roman" w:hAnsi="Times New Roman" w:eastAsia="仿宋_GB2312"/>
          <w:sz w:val="32"/>
          <w:szCs w:val="40"/>
        </w:rPr>
        <w:t>合肥都市圈</w:t>
      </w:r>
      <w:r>
        <w:rPr>
          <w:rFonts w:hint="eastAsia" w:ascii="Times New Roman" w:hAnsi="Times New Roman" w:eastAsia="仿宋_GB2312"/>
          <w:sz w:val="32"/>
          <w:szCs w:val="40"/>
        </w:rPr>
        <w:t>的桥头堡、合肥都市圈</w:t>
      </w:r>
      <w:r>
        <w:rPr>
          <w:rFonts w:ascii="Times New Roman" w:hAnsi="Times New Roman" w:eastAsia="仿宋_GB2312"/>
          <w:sz w:val="32"/>
          <w:szCs w:val="40"/>
        </w:rPr>
        <w:t>南部副中心和重要的战略支点。</w:t>
      </w:r>
    </w:p>
    <w:p w14:paraId="405DCC44">
      <w:pPr>
        <w:ind w:firstLine="643" w:firstLineChars="200"/>
        <w:rPr>
          <w:rFonts w:hint="eastAsia" w:ascii="Times New Roman" w:hAnsi="Times New Roman" w:eastAsia="仿宋_GB2312"/>
          <w:sz w:val="32"/>
          <w:szCs w:val="32"/>
        </w:rPr>
      </w:pPr>
      <w:r>
        <w:rPr>
          <w:rFonts w:ascii="Times New Roman" w:hAnsi="Times New Roman" w:eastAsia="仿宋_GB2312"/>
          <w:b/>
          <w:sz w:val="32"/>
          <w:szCs w:val="32"/>
        </w:rPr>
        <w:t>发展战略。</w:t>
      </w:r>
      <w:r>
        <w:rPr>
          <w:rFonts w:ascii="Times New Roman" w:hAnsi="Times New Roman" w:eastAsia="仿宋_GB2312"/>
          <w:sz w:val="32"/>
          <w:szCs w:val="40"/>
        </w:rPr>
        <w:t>“十四五”时期，桐城市需要在保持战略定力的同时，准</w:t>
      </w:r>
      <w:r>
        <w:rPr>
          <w:rFonts w:ascii="Times New Roman" w:hAnsi="Times New Roman" w:eastAsia="仿宋_GB2312"/>
          <w:sz w:val="32"/>
          <w:szCs w:val="32"/>
        </w:rPr>
        <w:t>确把握新变化、新特征和新趋势，实施以下五大战略</w:t>
      </w:r>
      <w:r>
        <w:rPr>
          <w:rFonts w:hint="eastAsia" w:ascii="Times New Roman" w:hAnsi="Times New Roman" w:eastAsia="仿宋_GB2312"/>
          <w:sz w:val="32"/>
          <w:szCs w:val="32"/>
        </w:rPr>
        <w:t>：</w:t>
      </w:r>
    </w:p>
    <w:p w14:paraId="1B5DF6D4">
      <w:pPr>
        <w:ind w:firstLine="643" w:firstLineChars="200"/>
        <w:rPr>
          <w:rFonts w:ascii="Times New Roman" w:hAnsi="Times New Roman" w:eastAsia="仿宋_GB2312"/>
          <w:sz w:val="32"/>
          <w:szCs w:val="32"/>
        </w:rPr>
      </w:pPr>
      <w:r>
        <w:rPr>
          <w:rFonts w:ascii="Times New Roman" w:hAnsi="Times New Roman" w:eastAsia="仿宋_GB2312"/>
          <w:b/>
          <w:sz w:val="32"/>
          <w:szCs w:val="40"/>
        </w:rPr>
        <w:t>——创新</w:t>
      </w:r>
      <w:r>
        <w:rPr>
          <w:rFonts w:hint="eastAsia" w:ascii="Times New Roman" w:hAnsi="Times New Roman" w:eastAsia="仿宋_GB2312"/>
          <w:b/>
          <w:sz w:val="32"/>
          <w:szCs w:val="40"/>
        </w:rPr>
        <w:t>强</w:t>
      </w:r>
      <w:r>
        <w:rPr>
          <w:rFonts w:ascii="Times New Roman" w:hAnsi="Times New Roman" w:eastAsia="仿宋_GB2312"/>
          <w:b/>
          <w:sz w:val="32"/>
          <w:szCs w:val="40"/>
        </w:rPr>
        <w:t>市。</w:t>
      </w:r>
      <w:r>
        <w:rPr>
          <w:rFonts w:ascii="Times New Roman" w:hAnsi="Times New Roman" w:eastAsia="仿宋_GB2312"/>
          <w:sz w:val="32"/>
          <w:szCs w:val="40"/>
        </w:rPr>
        <w:t>坚定不移实施创新</w:t>
      </w:r>
      <w:r>
        <w:rPr>
          <w:rFonts w:hint="eastAsia" w:ascii="Times New Roman" w:hAnsi="Times New Roman" w:eastAsia="仿宋_GB2312"/>
          <w:sz w:val="32"/>
          <w:szCs w:val="40"/>
        </w:rPr>
        <w:t>强</w:t>
      </w:r>
      <w:r>
        <w:rPr>
          <w:rFonts w:ascii="Times New Roman" w:hAnsi="Times New Roman" w:eastAsia="仿宋_GB2312"/>
          <w:sz w:val="32"/>
          <w:szCs w:val="40"/>
        </w:rPr>
        <w:t>市战略，走“科创+产业”道路，以创新技术转化为抓手，围绕产业链、打通创新链、提升价值链，形成高质量发展的强大动力。推动我市由“跟跑”到“并跑”，并实现局部“超越”。</w:t>
      </w:r>
    </w:p>
    <w:p w14:paraId="10CE3B27">
      <w:pPr>
        <w:spacing w:line="360" w:lineRule="auto"/>
        <w:ind w:firstLine="643" w:firstLineChars="200"/>
        <w:rPr>
          <w:rFonts w:ascii="Times New Roman" w:hAnsi="Times New Roman" w:eastAsia="仿宋_GB2312"/>
          <w:sz w:val="32"/>
          <w:szCs w:val="40"/>
        </w:rPr>
      </w:pPr>
      <w:r>
        <w:rPr>
          <w:rFonts w:ascii="Times New Roman" w:hAnsi="Times New Roman" w:eastAsia="仿宋_GB2312"/>
          <w:b/>
          <w:sz w:val="32"/>
          <w:szCs w:val="40"/>
        </w:rPr>
        <w:t>——工业</w:t>
      </w:r>
      <w:r>
        <w:rPr>
          <w:rFonts w:hint="eastAsia" w:ascii="Times New Roman" w:hAnsi="Times New Roman" w:eastAsia="仿宋_GB2312"/>
          <w:b/>
          <w:sz w:val="32"/>
          <w:szCs w:val="40"/>
        </w:rPr>
        <w:t>立</w:t>
      </w:r>
      <w:r>
        <w:rPr>
          <w:rFonts w:ascii="Times New Roman" w:hAnsi="Times New Roman" w:eastAsia="仿宋_GB2312"/>
          <w:b/>
          <w:sz w:val="32"/>
          <w:szCs w:val="40"/>
        </w:rPr>
        <w:t>市。</w:t>
      </w:r>
      <w:r>
        <w:rPr>
          <w:rFonts w:ascii="Times New Roman" w:hAnsi="Times New Roman" w:eastAsia="仿宋_GB2312"/>
          <w:sz w:val="32"/>
          <w:szCs w:val="40"/>
        </w:rPr>
        <w:t>继续坚持并强化工业</w:t>
      </w:r>
      <w:r>
        <w:rPr>
          <w:rFonts w:hint="eastAsia" w:ascii="Times New Roman" w:hAnsi="Times New Roman" w:eastAsia="仿宋_GB2312"/>
          <w:sz w:val="32"/>
          <w:szCs w:val="40"/>
        </w:rPr>
        <w:t>立</w:t>
      </w:r>
      <w:r>
        <w:rPr>
          <w:rFonts w:ascii="Times New Roman" w:hAnsi="Times New Roman" w:eastAsia="仿宋_GB2312"/>
          <w:sz w:val="32"/>
          <w:szCs w:val="40"/>
        </w:rPr>
        <w:t>市战略，以先进制造业为引领，加快数字技术赋能。深度参与区域产业分工合作，参与建设世界级新型产业集群，大力推动工业</w:t>
      </w:r>
      <w:r>
        <w:rPr>
          <w:rFonts w:hint="eastAsia" w:ascii="Times New Roman" w:hAnsi="Times New Roman" w:eastAsia="仿宋_GB2312"/>
          <w:sz w:val="32"/>
          <w:szCs w:val="40"/>
        </w:rPr>
        <w:t>立</w:t>
      </w:r>
      <w:r>
        <w:rPr>
          <w:rFonts w:ascii="Times New Roman" w:hAnsi="Times New Roman" w:eastAsia="仿宋_GB2312"/>
          <w:sz w:val="32"/>
          <w:szCs w:val="40"/>
        </w:rPr>
        <w:t>市战略升级。</w:t>
      </w:r>
    </w:p>
    <w:p w14:paraId="038E7385">
      <w:pPr>
        <w:spacing w:line="360" w:lineRule="auto"/>
        <w:ind w:firstLine="643" w:firstLineChars="200"/>
        <w:rPr>
          <w:rFonts w:ascii="Times New Roman" w:hAnsi="Times New Roman" w:eastAsia="仿宋_GB2312"/>
          <w:sz w:val="32"/>
          <w:szCs w:val="40"/>
        </w:rPr>
      </w:pPr>
      <w:r>
        <w:rPr>
          <w:rFonts w:ascii="Times New Roman" w:hAnsi="Times New Roman" w:eastAsia="仿宋_GB2312"/>
          <w:b/>
          <w:sz w:val="32"/>
          <w:szCs w:val="40"/>
        </w:rPr>
        <w:t>——</w:t>
      </w:r>
      <w:r>
        <w:rPr>
          <w:rFonts w:hint="eastAsia" w:ascii="Times New Roman" w:hAnsi="Times New Roman" w:eastAsia="仿宋_GB2312"/>
          <w:b/>
          <w:sz w:val="32"/>
          <w:szCs w:val="40"/>
        </w:rPr>
        <w:t>人文</w:t>
      </w:r>
      <w:r>
        <w:rPr>
          <w:rFonts w:ascii="Times New Roman" w:hAnsi="Times New Roman" w:eastAsia="仿宋_GB2312"/>
          <w:b/>
          <w:sz w:val="32"/>
          <w:szCs w:val="40"/>
        </w:rPr>
        <w:t>兴市。</w:t>
      </w:r>
      <w:r>
        <w:rPr>
          <w:rFonts w:ascii="Times New Roman" w:hAnsi="Times New Roman" w:eastAsia="仿宋_GB2312"/>
          <w:sz w:val="32"/>
          <w:szCs w:val="40"/>
        </w:rPr>
        <w:t>继续坚持并强化</w:t>
      </w:r>
      <w:r>
        <w:rPr>
          <w:rFonts w:hint="eastAsia" w:ascii="Times New Roman" w:hAnsi="Times New Roman" w:eastAsia="仿宋_GB2312"/>
          <w:sz w:val="32"/>
          <w:szCs w:val="40"/>
        </w:rPr>
        <w:t>人文</w:t>
      </w:r>
      <w:r>
        <w:rPr>
          <w:rFonts w:ascii="Times New Roman" w:hAnsi="Times New Roman" w:eastAsia="仿宋_GB2312"/>
          <w:sz w:val="32"/>
          <w:szCs w:val="40"/>
        </w:rPr>
        <w:t>兴市战略，大力弘扬优秀传统文化，传承千年文脉，不断赋予优秀传统文化以时代内涵。坚持以文促旅、以旅</w:t>
      </w:r>
      <w:r>
        <w:rPr>
          <w:rFonts w:hint="eastAsia" w:ascii="Times New Roman" w:hAnsi="Times New Roman" w:eastAsia="仿宋_GB2312"/>
          <w:sz w:val="32"/>
          <w:szCs w:val="40"/>
          <w:lang w:val="en-US" w:eastAsia="zh-CN"/>
        </w:rPr>
        <w:t>彰</w:t>
      </w:r>
      <w:r>
        <w:rPr>
          <w:rFonts w:ascii="Times New Roman" w:hAnsi="Times New Roman" w:eastAsia="仿宋_GB2312"/>
          <w:sz w:val="32"/>
          <w:szCs w:val="40"/>
        </w:rPr>
        <w:t>文、文旅融合，打造高质量文化传承载体，推进文化旅游深度融合发展，放大桐城文教优势，提升文化教育对经济社会发展的贡献度。</w:t>
      </w:r>
    </w:p>
    <w:p w14:paraId="5D87E60A">
      <w:pPr>
        <w:ind w:firstLine="643" w:firstLineChars="200"/>
        <w:rPr>
          <w:rFonts w:ascii="Times New Roman" w:hAnsi="Times New Roman" w:eastAsia="仿宋_GB2312"/>
          <w:sz w:val="32"/>
          <w:szCs w:val="40"/>
        </w:rPr>
      </w:pPr>
      <w:r>
        <w:rPr>
          <w:rFonts w:ascii="Times New Roman" w:hAnsi="Times New Roman" w:eastAsia="仿宋_GB2312"/>
          <w:b/>
          <w:sz w:val="32"/>
          <w:szCs w:val="40"/>
        </w:rPr>
        <w:t>——开放活市。</w:t>
      </w:r>
      <w:r>
        <w:rPr>
          <w:rFonts w:ascii="Times New Roman" w:hAnsi="Times New Roman" w:eastAsia="仿宋_GB2312"/>
          <w:sz w:val="32"/>
          <w:szCs w:val="40"/>
        </w:rPr>
        <w:t>抢抓长三角更高质量一体化和合肥都市圈等重大战略机遇，积极参与构建国内国外双循环新发展格局，加快承接产业转移和区域合作，在更广领域集聚国内外先进要素资源，推动开放由外延向内涵不断拓展，实现全方位开放和全面一体化。</w:t>
      </w:r>
    </w:p>
    <w:p w14:paraId="7B1340A9">
      <w:pPr>
        <w:ind w:firstLine="643" w:firstLineChars="200"/>
        <w:rPr>
          <w:rFonts w:ascii="Times New Roman" w:hAnsi="Times New Roman" w:eastAsia="仿宋_GB2312"/>
          <w:sz w:val="32"/>
          <w:szCs w:val="40"/>
        </w:rPr>
      </w:pPr>
      <w:r>
        <w:rPr>
          <w:rFonts w:ascii="Times New Roman" w:hAnsi="Times New Roman" w:eastAsia="仿宋_GB2312"/>
          <w:b/>
          <w:sz w:val="32"/>
          <w:szCs w:val="40"/>
        </w:rPr>
        <w:t>——生态美市。</w:t>
      </w:r>
      <w:r>
        <w:rPr>
          <w:rFonts w:ascii="Times New Roman" w:hAnsi="Times New Roman" w:eastAsia="仿宋_GB2312"/>
          <w:sz w:val="32"/>
          <w:szCs w:val="40"/>
        </w:rPr>
        <w:t>践行“两山”</w:t>
      </w:r>
      <w:r>
        <w:rPr>
          <w:rFonts w:hint="eastAsia" w:ascii="Times New Roman" w:hAnsi="Times New Roman" w:eastAsia="仿宋_GB2312"/>
          <w:sz w:val="32"/>
          <w:szCs w:val="40"/>
        </w:rPr>
        <w:t>理念</w:t>
      </w:r>
      <w:r>
        <w:rPr>
          <w:rFonts w:ascii="Times New Roman" w:hAnsi="Times New Roman" w:eastAsia="仿宋_GB2312"/>
          <w:sz w:val="32"/>
          <w:szCs w:val="40"/>
        </w:rPr>
        <w:t>，坚持生态优先、绿色发展，以生态产品质量提升等为重点，不断满足人民群众日益增长的优美生态环境需要，让良好生态环境成为提升人民群众获得感的增长点，加快生态优势向发展优势转化，让绿水青山成为支撑高质量发展的基石。</w:t>
      </w:r>
    </w:p>
    <w:p w14:paraId="4E0DA12E">
      <w:pPr>
        <w:spacing w:before="100" w:beforeAutospacing="1" w:after="100" w:afterAutospacing="1"/>
        <w:jc w:val="center"/>
        <w:outlineLvl w:val="1"/>
        <w:rPr>
          <w:rFonts w:ascii="Times New Roman" w:hAnsi="Times New Roman" w:eastAsia="黑体"/>
          <w:sz w:val="32"/>
          <w:szCs w:val="32"/>
        </w:rPr>
      </w:pPr>
      <w:bookmarkStart w:id="8" w:name="_Toc6976"/>
      <w:bookmarkStart w:id="9" w:name="_Toc53003420"/>
      <w:r>
        <w:rPr>
          <w:rFonts w:ascii="Times New Roman" w:hAnsi="Times New Roman" w:eastAsia="黑体"/>
          <w:sz w:val="32"/>
          <w:szCs w:val="32"/>
        </w:rPr>
        <w:t>第四节</w:t>
      </w:r>
      <w:r>
        <w:rPr>
          <w:rFonts w:hint="eastAsia" w:ascii="Times New Roman" w:hAnsi="Times New Roman" w:eastAsia="黑体"/>
          <w:sz w:val="32"/>
          <w:szCs w:val="32"/>
          <w:lang w:val="en-US" w:eastAsia="zh-CN"/>
        </w:rPr>
        <w:t xml:space="preserve"> </w:t>
      </w:r>
      <w:r>
        <w:rPr>
          <w:rFonts w:hint="eastAsia" w:ascii="Times New Roman" w:hAnsi="Times New Roman" w:eastAsia="黑体"/>
          <w:sz w:val="32"/>
          <w:szCs w:val="32"/>
        </w:rPr>
        <w:t>主要</w:t>
      </w:r>
      <w:r>
        <w:rPr>
          <w:rFonts w:ascii="Times New Roman" w:hAnsi="Times New Roman" w:eastAsia="黑体"/>
          <w:sz w:val="32"/>
          <w:szCs w:val="32"/>
        </w:rPr>
        <w:t>目标</w:t>
      </w:r>
      <w:bookmarkEnd w:id="8"/>
      <w:bookmarkEnd w:id="9"/>
    </w:p>
    <w:p w14:paraId="20C96276">
      <w:pPr>
        <w:ind w:firstLine="643" w:firstLineChars="200"/>
        <w:rPr>
          <w:rFonts w:ascii="Times New Roman" w:hAnsi="Times New Roman" w:eastAsia="仿宋_GB2312"/>
          <w:bCs/>
          <w:color w:val="000000" w:themeColor="text1"/>
          <w:sz w:val="32"/>
          <w:szCs w:val="32"/>
        </w:rPr>
      </w:pPr>
      <w:r>
        <w:rPr>
          <w:rFonts w:hint="eastAsia" w:ascii="Times New Roman" w:hAnsi="Times New Roman" w:eastAsia="仿宋_GB2312"/>
          <w:b/>
          <w:bCs/>
          <w:color w:val="000000" w:themeColor="text1"/>
          <w:sz w:val="32"/>
          <w:szCs w:val="32"/>
        </w:rPr>
        <w:t>到二</w:t>
      </w:r>
      <w:r>
        <w:rPr>
          <w:rFonts w:hint="eastAsia" w:ascii="宋体" w:hAnsi="宋体" w:cs="宋体"/>
          <w:b/>
          <w:bCs/>
          <w:color w:val="000000" w:themeColor="text1"/>
          <w:sz w:val="32"/>
          <w:szCs w:val="32"/>
        </w:rPr>
        <w:t>〇</w:t>
      </w:r>
      <w:r>
        <w:rPr>
          <w:rFonts w:hint="eastAsia" w:ascii="仿宋_GB2312" w:hAnsi="仿宋_GB2312" w:eastAsia="仿宋_GB2312" w:cs="仿宋_GB2312"/>
          <w:b/>
          <w:bCs/>
          <w:color w:val="000000" w:themeColor="text1"/>
          <w:sz w:val="32"/>
          <w:szCs w:val="32"/>
        </w:rPr>
        <w:t>三五年基本实现社会主义现代化远景目标。</w:t>
      </w:r>
      <w:r>
        <w:rPr>
          <w:rFonts w:hint="eastAsia" w:ascii="Times New Roman" w:hAnsi="Times New Roman" w:eastAsia="仿宋_GB2312"/>
          <w:bCs/>
          <w:color w:val="000000" w:themeColor="text1"/>
          <w:sz w:val="32"/>
          <w:szCs w:val="32"/>
        </w:rPr>
        <w:t>展望二</w:t>
      </w:r>
      <w:r>
        <w:rPr>
          <w:rFonts w:hint="eastAsia" w:ascii="宋体" w:hAnsi="宋体" w:cs="宋体"/>
          <w:bCs/>
          <w:color w:val="000000" w:themeColor="text1"/>
          <w:sz w:val="32"/>
          <w:szCs w:val="32"/>
        </w:rPr>
        <w:t>〇</w:t>
      </w:r>
      <w:r>
        <w:rPr>
          <w:rFonts w:hint="eastAsia" w:ascii="仿宋_GB2312" w:hAnsi="仿宋_GB2312" w:eastAsia="仿宋_GB2312" w:cs="仿宋_GB2312"/>
          <w:bCs/>
          <w:color w:val="000000" w:themeColor="text1"/>
          <w:sz w:val="32"/>
          <w:szCs w:val="32"/>
        </w:rPr>
        <w:t>三五年，我市经济实力、科技实力、综合实力跨上新台阶，人均地区生产总值达到长三角平均水平，建成全省知名、全国</w:t>
      </w:r>
      <w:r>
        <w:rPr>
          <w:rFonts w:hint="eastAsia" w:ascii="Times New Roman" w:hAnsi="Times New Roman" w:eastAsia="仿宋_GB2312"/>
          <w:bCs/>
          <w:color w:val="000000" w:themeColor="text1"/>
          <w:sz w:val="32"/>
          <w:szCs w:val="32"/>
        </w:rPr>
        <w:t>有影响力的优质产业集聚区、智慧县域样板区、文旅体验优选区、生态文明示范区、共同富裕先行区，充分展示“八个桐城”独特魅力。基本实现新型工业化、信息化、城镇化、农业现代化“新四化”，基本建成现代化经济体系，充分展示经济高质量发展的“桐城实力”；治理体系和治理能力现代化实现新提升，人民平等参与、平等发展权利得到充分保障，基本建成法治桐城、法治政府、法治社会，充分展示社会治理的“桐城方案”；国民素质和社会文明程度达到新高度，建成文化强市、教育强市、人才强市、体育强市、健康桐城，文化软实力显著增强，充分展示区域文化的“桐城韵味”；全面绿色转型树立新样板，广泛形成绿色生产生活方式，生态环境根本好转，美丽桐城建设目标基本实现，建成全国生态文明建设示范市，充分展示绿色江淮的“桐城画卷”；开放发展新格局全面构建，深度融入长三角一体化高质量发展，基础设施和公共服务互联互通全面实现，现代化综合交通体系和现代流通体系基本形成，参与国际经济合作和竞争新优势明显增强，充分展示对外开放的“桐城活力”。区域协调发展实现新跨越，城市能级显著提高，常住人口城镇化率超过百分之七十，城乡一体化进程明显加快，城乡区域发展差距和居民生活水平差距显著缩小，人民基本生活保障水平与长三角平均水平大体相当，基本公共服务实现均等化，中等收入群体显著扩大，充分展示城乡融合的“桐城模式”；平安桐城建设达到新水平，建成人人有责、人人尽责、人人享有的社会治理共同体，充分展示平安建设的“桐城水平”；人民美好生活谱写新篇章，人的全面发展、全体人民共同富裕取得更为明显的实质性进展，充分展示建设幸福家园的“桐城品质”。</w:t>
      </w:r>
    </w:p>
    <w:p w14:paraId="4CED5931">
      <w:pPr>
        <w:ind w:firstLine="640" w:firstLineChars="200"/>
        <w:rPr>
          <w:rFonts w:ascii="仿宋_GB2312" w:hAnsi="仿宋_GB2312" w:eastAsia="仿宋_GB2312" w:cs="仿宋_GB2312"/>
          <w:sz w:val="32"/>
          <w:szCs w:val="40"/>
        </w:rPr>
      </w:pPr>
      <w:r>
        <w:rPr>
          <w:rFonts w:hint="eastAsia" w:ascii="Times New Roman" w:hAnsi="Times New Roman" w:eastAsia="仿宋_GB2312"/>
          <w:sz w:val="32"/>
          <w:szCs w:val="40"/>
        </w:rPr>
        <w:t>锚定二</w:t>
      </w:r>
      <w:r>
        <w:rPr>
          <w:rFonts w:hint="eastAsia" w:ascii="宋体" w:hAnsi="宋体" w:cs="宋体"/>
          <w:sz w:val="32"/>
          <w:szCs w:val="40"/>
        </w:rPr>
        <w:t>〇</w:t>
      </w:r>
      <w:r>
        <w:rPr>
          <w:rFonts w:hint="eastAsia" w:ascii="仿宋_GB2312" w:hAnsi="仿宋_GB2312" w:eastAsia="仿宋_GB2312" w:cs="仿宋_GB2312"/>
          <w:sz w:val="32"/>
          <w:szCs w:val="40"/>
        </w:rPr>
        <w:t>三五年远景目标，贯彻习近平总书记考察安徽提出的强化“两个坚持”，实现“两个更大”的目标要求，强力推进“五五部署”，坚持实施创新强市、工业立市、人文兴市、开放活市、生态美市“五大</w:t>
      </w:r>
      <w:r>
        <w:rPr>
          <w:rFonts w:hint="eastAsia" w:ascii="仿宋_GB2312" w:hAnsi="仿宋_GB2312" w:eastAsia="仿宋_GB2312" w:cs="仿宋_GB2312"/>
          <w:sz w:val="32"/>
          <w:szCs w:val="40"/>
          <w:lang w:val="en-US" w:eastAsia="zh-CN"/>
        </w:rPr>
        <w:t>战略</w:t>
      </w:r>
      <w:r>
        <w:rPr>
          <w:rFonts w:hint="eastAsia" w:ascii="仿宋_GB2312" w:hAnsi="仿宋_GB2312" w:eastAsia="仿宋_GB2312" w:cs="仿宋_GB2312"/>
          <w:sz w:val="32"/>
          <w:szCs w:val="40"/>
        </w:rPr>
        <w:t>”，着力打造更高质量的创业名城、产业名城、文教名城、宜居名城、勤廉名城“五大名城”。</w:t>
      </w:r>
    </w:p>
    <w:p w14:paraId="3E0E26CB">
      <w:pPr>
        <w:ind w:firstLine="643" w:firstLineChars="200"/>
        <w:rPr>
          <w:rFonts w:ascii="Times New Roman" w:hAnsi="Times New Roman" w:eastAsia="仿宋_GB2312"/>
          <w:sz w:val="32"/>
          <w:szCs w:val="32"/>
        </w:rPr>
      </w:pPr>
      <w:r>
        <w:rPr>
          <w:rFonts w:ascii="Times New Roman" w:hAnsi="Times New Roman" w:eastAsia="仿宋_GB2312"/>
          <w:b/>
          <w:sz w:val="32"/>
          <w:szCs w:val="40"/>
        </w:rPr>
        <w:t>——经济实力更强劲。</w:t>
      </w:r>
      <w:r>
        <w:rPr>
          <w:rFonts w:hint="eastAsia" w:ascii="Times New Roman" w:hAnsi="Times New Roman" w:eastAsia="仿宋_GB2312"/>
          <w:sz w:val="32"/>
          <w:szCs w:val="40"/>
        </w:rPr>
        <w:t>坚持绝对高质量和相对高速度并重</w:t>
      </w:r>
      <w:r>
        <w:rPr>
          <w:rFonts w:ascii="Times New Roman" w:hAnsi="Times New Roman" w:eastAsia="仿宋_GB2312"/>
          <w:sz w:val="32"/>
          <w:szCs w:val="40"/>
        </w:rPr>
        <w:t>，主要经济指标增速在</w:t>
      </w:r>
      <w:r>
        <w:rPr>
          <w:rFonts w:hint="eastAsia" w:ascii="Times New Roman" w:hAnsi="Times New Roman" w:eastAsia="仿宋_GB2312"/>
          <w:sz w:val="32"/>
          <w:szCs w:val="40"/>
          <w:lang w:val="en-US" w:eastAsia="zh-CN"/>
        </w:rPr>
        <w:t>安庆</w:t>
      </w:r>
      <w:r>
        <w:rPr>
          <w:rFonts w:ascii="Times New Roman" w:hAnsi="Times New Roman" w:eastAsia="仿宋_GB2312"/>
          <w:sz w:val="32"/>
          <w:szCs w:val="40"/>
        </w:rPr>
        <w:t>全市保持前列，人均</w:t>
      </w:r>
      <w:r>
        <w:rPr>
          <w:rFonts w:hint="eastAsia" w:ascii="Times New Roman" w:hAnsi="Times New Roman" w:eastAsia="仿宋_GB2312"/>
          <w:sz w:val="32"/>
          <w:szCs w:val="40"/>
        </w:rPr>
        <w:t>地区生产总值超过全省平均水平</w:t>
      </w:r>
      <w:r>
        <w:rPr>
          <w:rFonts w:ascii="Times New Roman" w:hAnsi="Times New Roman" w:eastAsia="仿宋_GB2312"/>
          <w:sz w:val="32"/>
          <w:szCs w:val="40"/>
        </w:rPr>
        <w:t>，</w:t>
      </w:r>
      <w:r>
        <w:rPr>
          <w:rFonts w:hint="eastAsia" w:ascii="Times New Roman" w:hAnsi="Times New Roman" w:eastAsia="仿宋_GB2312"/>
          <w:sz w:val="32"/>
          <w:szCs w:val="40"/>
          <w:lang w:val="en-US" w:eastAsia="zh-CN"/>
        </w:rPr>
        <w:t>重返</w:t>
      </w:r>
      <w:r>
        <w:rPr>
          <w:rFonts w:hint="eastAsia" w:ascii="Times New Roman" w:hAnsi="Times New Roman" w:eastAsia="仿宋_GB2312"/>
          <w:sz w:val="32"/>
          <w:szCs w:val="40"/>
        </w:rPr>
        <w:t>全省十强县</w:t>
      </w:r>
      <w:r>
        <w:rPr>
          <w:rFonts w:ascii="Times New Roman" w:hAnsi="Times New Roman" w:eastAsia="仿宋_GB2312"/>
          <w:sz w:val="32"/>
          <w:szCs w:val="40"/>
        </w:rPr>
        <w:t>。到2025年，地区生产总值达</w:t>
      </w:r>
      <w:r>
        <w:rPr>
          <w:rFonts w:hint="eastAsia" w:ascii="Times New Roman" w:hAnsi="Times New Roman" w:eastAsia="仿宋_GB2312"/>
          <w:sz w:val="32"/>
          <w:szCs w:val="40"/>
        </w:rPr>
        <w:t>700</w:t>
      </w:r>
      <w:r>
        <w:rPr>
          <w:rFonts w:ascii="Times New Roman" w:hAnsi="Times New Roman" w:eastAsia="仿宋_GB2312"/>
          <w:sz w:val="32"/>
          <w:szCs w:val="40"/>
        </w:rPr>
        <w:t>亿元，年均增长</w:t>
      </w:r>
      <w:r>
        <w:rPr>
          <w:rFonts w:hint="eastAsia" w:ascii="Times New Roman" w:hAnsi="Times New Roman" w:eastAsia="仿宋_GB2312"/>
          <w:sz w:val="32"/>
          <w:szCs w:val="40"/>
          <w:lang w:val="en-US" w:eastAsia="zh-CN"/>
        </w:rPr>
        <w:t>10</w:t>
      </w:r>
      <w:r>
        <w:rPr>
          <w:rFonts w:ascii="Times New Roman" w:hAnsi="Times New Roman" w:eastAsia="仿宋_GB2312"/>
          <w:sz w:val="32"/>
          <w:szCs w:val="40"/>
        </w:rPr>
        <w:t>%。财政收入达</w:t>
      </w:r>
      <w:r>
        <w:rPr>
          <w:rFonts w:hint="eastAsia" w:ascii="Times New Roman" w:hAnsi="Times New Roman" w:eastAsia="仿宋_GB2312"/>
          <w:sz w:val="32"/>
          <w:szCs w:val="40"/>
        </w:rPr>
        <w:t>50</w:t>
      </w:r>
      <w:r>
        <w:rPr>
          <w:rFonts w:ascii="Times New Roman" w:hAnsi="Times New Roman" w:eastAsia="仿宋_GB2312"/>
          <w:sz w:val="32"/>
          <w:szCs w:val="40"/>
        </w:rPr>
        <w:t>亿元</w:t>
      </w:r>
      <w:r>
        <w:rPr>
          <w:rFonts w:hint="eastAsia" w:ascii="Times New Roman" w:hAnsi="Times New Roman" w:eastAsia="仿宋_GB2312"/>
          <w:sz w:val="32"/>
          <w:szCs w:val="40"/>
          <w:lang w:eastAsia="zh-CN"/>
        </w:rPr>
        <w:t>，</w:t>
      </w:r>
      <w:r>
        <w:rPr>
          <w:rFonts w:ascii="Times New Roman" w:hAnsi="Times New Roman" w:eastAsia="仿宋_GB2312"/>
          <w:sz w:val="32"/>
          <w:szCs w:val="40"/>
        </w:rPr>
        <w:t>年均增长</w:t>
      </w:r>
      <w:r>
        <w:rPr>
          <w:rFonts w:hint="eastAsia" w:ascii="Times New Roman" w:hAnsi="Times New Roman" w:eastAsia="仿宋_GB2312"/>
          <w:sz w:val="32"/>
          <w:szCs w:val="40"/>
        </w:rPr>
        <w:t>10</w:t>
      </w:r>
      <w:r>
        <w:rPr>
          <w:rFonts w:ascii="Times New Roman" w:hAnsi="Times New Roman" w:eastAsia="仿宋_GB2312"/>
          <w:sz w:val="32"/>
          <w:szCs w:val="40"/>
        </w:rPr>
        <w:t>%。有效投资持续扩大，消费对经济增长的基础性作用明显增强。</w:t>
      </w:r>
      <w:r>
        <w:rPr>
          <w:rFonts w:hint="eastAsia" w:ascii="Times New Roman" w:hAnsi="Times New Roman" w:eastAsia="仿宋_GB2312"/>
          <w:sz w:val="32"/>
          <w:szCs w:val="32"/>
        </w:rPr>
        <w:t>质量效益显著提升，</w:t>
      </w:r>
      <w:r>
        <w:rPr>
          <w:rFonts w:hint="eastAsia" w:ascii="Times New Roman" w:hAnsi="Times New Roman" w:eastAsia="仿宋_GB2312"/>
          <w:sz w:val="32"/>
          <w:szCs w:val="40"/>
        </w:rPr>
        <w:t>三次产业结构保持在合理区间。</w:t>
      </w:r>
      <w:r>
        <w:rPr>
          <w:rFonts w:ascii="Times New Roman" w:hAnsi="Times New Roman" w:eastAsia="仿宋_GB2312"/>
          <w:sz w:val="32"/>
          <w:szCs w:val="32"/>
        </w:rPr>
        <w:t>经济活力明显增强，实体经济、科技创新、现代金融、人力资源协同发展格局基本形成，</w:t>
      </w:r>
      <w:r>
        <w:rPr>
          <w:rFonts w:ascii="Times New Roman" w:hAnsi="Times New Roman" w:eastAsia="仿宋_GB2312"/>
          <w:sz w:val="32"/>
          <w:szCs w:val="40"/>
        </w:rPr>
        <w:t>开放型经济水平大幅提升，</w:t>
      </w:r>
      <w:r>
        <w:rPr>
          <w:rFonts w:ascii="Times New Roman" w:hAnsi="Times New Roman" w:eastAsia="仿宋_GB2312"/>
          <w:sz w:val="32"/>
          <w:szCs w:val="32"/>
        </w:rPr>
        <w:t>全要素生产率稳步提升。形成一批稳定性强、竞争力强的重点产业链，</w:t>
      </w:r>
      <w:r>
        <w:rPr>
          <w:rFonts w:hint="eastAsia" w:ascii="Times New Roman" w:hAnsi="Times New Roman" w:eastAsia="仿宋_GB2312"/>
          <w:sz w:val="32"/>
          <w:szCs w:val="32"/>
        </w:rPr>
        <w:t>绿色包装、机电装备成长为总量超千亿的首位产业集群。</w:t>
      </w:r>
    </w:p>
    <w:p w14:paraId="1DA94B72">
      <w:pPr>
        <w:ind w:firstLine="643" w:firstLineChars="200"/>
        <w:rPr>
          <w:rFonts w:ascii="Times New Roman" w:hAnsi="Times New Roman" w:eastAsia="仿宋_GB2312"/>
          <w:sz w:val="32"/>
          <w:szCs w:val="32"/>
        </w:rPr>
      </w:pPr>
      <w:r>
        <w:rPr>
          <w:rFonts w:ascii="Times New Roman" w:hAnsi="Times New Roman" w:eastAsia="仿宋_GB2312"/>
          <w:b/>
          <w:sz w:val="32"/>
          <w:szCs w:val="40"/>
        </w:rPr>
        <w:t>——</w:t>
      </w:r>
      <w:r>
        <w:rPr>
          <w:rFonts w:ascii="Times New Roman" w:hAnsi="Times New Roman" w:eastAsia="仿宋_GB2312"/>
          <w:b/>
          <w:sz w:val="32"/>
          <w:szCs w:val="32"/>
        </w:rPr>
        <w:t>创新</w:t>
      </w:r>
      <w:r>
        <w:rPr>
          <w:rFonts w:hint="eastAsia" w:ascii="Times New Roman" w:hAnsi="Times New Roman" w:eastAsia="仿宋_GB2312"/>
          <w:b/>
          <w:sz w:val="32"/>
          <w:szCs w:val="32"/>
        </w:rPr>
        <w:t>体系</w:t>
      </w:r>
      <w:r>
        <w:rPr>
          <w:rFonts w:ascii="Times New Roman" w:hAnsi="Times New Roman" w:eastAsia="仿宋_GB2312"/>
          <w:b/>
          <w:sz w:val="32"/>
          <w:szCs w:val="32"/>
        </w:rPr>
        <w:t>更完善。</w:t>
      </w:r>
      <w:r>
        <w:rPr>
          <w:rFonts w:ascii="Times New Roman" w:hAnsi="Times New Roman" w:eastAsia="仿宋_GB2312"/>
          <w:sz w:val="32"/>
          <w:szCs w:val="32"/>
        </w:rPr>
        <w:t>创新投入持续增加，创新链、产业链和价值链深度融合。到2025年，研究与试验经费</w:t>
      </w:r>
      <w:r>
        <w:rPr>
          <w:rFonts w:hint="eastAsia" w:ascii="Times New Roman" w:hAnsi="Times New Roman" w:eastAsia="仿宋_GB2312"/>
          <w:sz w:val="32"/>
          <w:szCs w:val="32"/>
          <w:lang w:val="en-US" w:eastAsia="zh-CN"/>
        </w:rPr>
        <w:t>年均</w:t>
      </w:r>
      <w:r>
        <w:rPr>
          <w:rFonts w:hint="eastAsia" w:ascii="Times New Roman" w:hAnsi="Times New Roman" w:eastAsia="仿宋_GB2312"/>
          <w:sz w:val="32"/>
          <w:szCs w:val="32"/>
        </w:rPr>
        <w:t>增速达9%</w:t>
      </w:r>
      <w:r>
        <w:rPr>
          <w:rFonts w:ascii="Times New Roman" w:hAnsi="Times New Roman" w:eastAsia="仿宋_GB2312"/>
          <w:sz w:val="32"/>
          <w:szCs w:val="32"/>
        </w:rPr>
        <w:t>以上，创新主体与创新载体支撑作用进一步凸显，高新技术企业数量突破</w:t>
      </w:r>
      <w:r>
        <w:rPr>
          <w:rFonts w:hint="eastAsia" w:ascii="Times New Roman" w:hAnsi="Times New Roman" w:eastAsia="仿宋_GB2312"/>
          <w:sz w:val="32"/>
          <w:szCs w:val="32"/>
        </w:rPr>
        <w:t>100</w:t>
      </w:r>
      <w:r>
        <w:rPr>
          <w:rFonts w:ascii="Times New Roman" w:hAnsi="Times New Roman" w:eastAsia="仿宋_GB2312"/>
          <w:sz w:val="32"/>
          <w:szCs w:val="32"/>
        </w:rPr>
        <w:t>家。人才资源得到充分利用，高效科技成果转化机制更加成熟，</w:t>
      </w:r>
      <w:r>
        <w:rPr>
          <w:rFonts w:hint="eastAsia" w:ascii="Times New Roman" w:hAnsi="Times New Roman" w:eastAsia="仿宋_GB2312"/>
          <w:sz w:val="32"/>
          <w:szCs w:val="32"/>
        </w:rPr>
        <w:t>战略性新兴产业产值占规模以上工业产值比重达35%。</w:t>
      </w:r>
    </w:p>
    <w:p w14:paraId="490C2A81">
      <w:pPr>
        <w:ind w:firstLine="643" w:firstLineChars="200"/>
        <w:rPr>
          <w:rFonts w:ascii="Times New Roman" w:hAnsi="Times New Roman" w:eastAsia="仿宋_GB2312"/>
          <w:sz w:val="32"/>
          <w:szCs w:val="32"/>
        </w:rPr>
      </w:pPr>
      <w:r>
        <w:rPr>
          <w:rFonts w:ascii="Times New Roman" w:hAnsi="Times New Roman" w:eastAsia="仿宋_GB2312"/>
          <w:b/>
          <w:sz w:val="32"/>
          <w:szCs w:val="40"/>
        </w:rPr>
        <w:t>——</w:t>
      </w:r>
      <w:r>
        <w:rPr>
          <w:rFonts w:hint="eastAsia" w:ascii="Times New Roman" w:hAnsi="Times New Roman" w:eastAsia="仿宋_GB2312"/>
          <w:b/>
          <w:sz w:val="32"/>
          <w:szCs w:val="32"/>
        </w:rPr>
        <w:t>城乡</w:t>
      </w:r>
      <w:r>
        <w:rPr>
          <w:rFonts w:ascii="Times New Roman" w:hAnsi="Times New Roman" w:eastAsia="仿宋_GB2312"/>
          <w:b/>
          <w:sz w:val="32"/>
          <w:szCs w:val="32"/>
        </w:rPr>
        <w:t>发展更协调。</w:t>
      </w:r>
      <w:r>
        <w:rPr>
          <w:rFonts w:ascii="Times New Roman" w:hAnsi="Times New Roman" w:eastAsia="仿宋_GB2312"/>
          <w:sz w:val="32"/>
          <w:szCs w:val="32"/>
        </w:rPr>
        <w:t>高质量融入长三角城市群，等高融入合肥都市圈。</w:t>
      </w:r>
      <w:r>
        <w:rPr>
          <w:rFonts w:hint="eastAsia" w:ascii="Times New Roman" w:hAnsi="Times New Roman" w:eastAsia="仿宋_GB2312"/>
          <w:sz w:val="32"/>
          <w:szCs w:val="32"/>
        </w:rPr>
        <w:t>国土空间开发格局不断优化，中心城区城镇化工业化集聚辐射能力持续增强，</w:t>
      </w:r>
      <w:r>
        <w:rPr>
          <w:rFonts w:ascii="Times New Roman" w:hAnsi="Times New Roman" w:eastAsia="仿宋_GB2312"/>
          <w:sz w:val="32"/>
          <w:szCs w:val="32"/>
        </w:rPr>
        <w:t>城市能级显著提升，</w:t>
      </w:r>
      <w:r>
        <w:rPr>
          <w:rFonts w:hint="eastAsia" w:ascii="Times New Roman" w:hAnsi="Times New Roman" w:eastAsia="仿宋_GB2312"/>
          <w:sz w:val="32"/>
          <w:szCs w:val="32"/>
        </w:rPr>
        <w:t>着力建设宜居城市、宜业城市、韧性城市、智慧城市。镇域</w:t>
      </w:r>
      <w:r>
        <w:rPr>
          <w:rFonts w:ascii="Times New Roman" w:hAnsi="Times New Roman" w:eastAsia="仿宋_GB2312"/>
          <w:sz w:val="32"/>
          <w:szCs w:val="32"/>
        </w:rPr>
        <w:t>特色化、</w:t>
      </w:r>
      <w:r>
        <w:rPr>
          <w:rFonts w:hint="eastAsia" w:ascii="Times New Roman" w:hAnsi="Times New Roman" w:eastAsia="仿宋_GB2312"/>
          <w:sz w:val="32"/>
          <w:szCs w:val="32"/>
        </w:rPr>
        <w:t>差异化</w:t>
      </w:r>
      <w:r>
        <w:rPr>
          <w:rFonts w:ascii="Times New Roman" w:hAnsi="Times New Roman" w:eastAsia="仿宋_GB2312"/>
          <w:sz w:val="32"/>
          <w:szCs w:val="32"/>
        </w:rPr>
        <w:t>发展</w:t>
      </w:r>
      <w:r>
        <w:rPr>
          <w:rFonts w:hint="eastAsia" w:ascii="Times New Roman" w:hAnsi="Times New Roman" w:eastAsia="仿宋_GB2312"/>
          <w:sz w:val="32"/>
          <w:szCs w:val="32"/>
        </w:rPr>
        <w:t>取得实效，以人为核心的新型城镇化水平大幅提升</w:t>
      </w:r>
      <w:r>
        <w:rPr>
          <w:rFonts w:ascii="Times New Roman" w:hAnsi="Times New Roman" w:eastAsia="仿宋_GB2312"/>
          <w:sz w:val="32"/>
          <w:szCs w:val="32"/>
        </w:rPr>
        <w:t>，城乡融合发展机制逐步建立，城乡区域差距进一步缩小。到2025年</w:t>
      </w:r>
      <w:r>
        <w:rPr>
          <w:rFonts w:hint="eastAsia" w:ascii="Times New Roman" w:hAnsi="Times New Roman" w:eastAsia="仿宋_GB2312"/>
          <w:sz w:val="32"/>
          <w:szCs w:val="32"/>
        </w:rPr>
        <w:t>常住人口城镇化率超过60%。</w:t>
      </w:r>
      <w:r>
        <w:rPr>
          <w:rFonts w:ascii="Times New Roman" w:hAnsi="Times New Roman" w:eastAsia="仿宋_GB2312"/>
          <w:sz w:val="32"/>
          <w:szCs w:val="32"/>
        </w:rPr>
        <w:t>城乡居民收入差距控制在</w:t>
      </w:r>
      <w:r>
        <w:rPr>
          <w:rFonts w:hint="eastAsia" w:ascii="Times New Roman" w:hAnsi="Times New Roman" w:eastAsia="仿宋_GB2312"/>
          <w:sz w:val="32"/>
          <w:szCs w:val="32"/>
        </w:rPr>
        <w:t>1.9</w:t>
      </w:r>
      <w:r>
        <w:rPr>
          <w:rFonts w:ascii="Times New Roman" w:hAnsi="Times New Roman" w:eastAsia="仿宋_GB2312"/>
          <w:sz w:val="32"/>
          <w:szCs w:val="32"/>
        </w:rPr>
        <w:t>:1之内。</w:t>
      </w:r>
    </w:p>
    <w:p w14:paraId="1DD03773">
      <w:pPr>
        <w:ind w:firstLine="643" w:firstLineChars="200"/>
        <w:rPr>
          <w:rFonts w:ascii="Times New Roman" w:hAnsi="Times New Roman" w:eastAsia="仿宋_GB2312"/>
          <w:sz w:val="32"/>
          <w:szCs w:val="32"/>
        </w:rPr>
      </w:pPr>
      <w:r>
        <w:rPr>
          <w:rFonts w:ascii="Times New Roman" w:hAnsi="Times New Roman" w:eastAsia="仿宋_GB2312"/>
          <w:b/>
          <w:sz w:val="32"/>
          <w:szCs w:val="40"/>
        </w:rPr>
        <w:t>——</w:t>
      </w:r>
      <w:r>
        <w:rPr>
          <w:rFonts w:ascii="Times New Roman" w:hAnsi="Times New Roman" w:eastAsia="仿宋_GB2312"/>
          <w:b/>
          <w:sz w:val="32"/>
          <w:szCs w:val="32"/>
        </w:rPr>
        <w:t>生态环境</w:t>
      </w:r>
      <w:r>
        <w:rPr>
          <w:rFonts w:hint="eastAsia" w:ascii="Times New Roman" w:hAnsi="Times New Roman" w:eastAsia="仿宋_GB2312"/>
          <w:b/>
          <w:sz w:val="32"/>
          <w:szCs w:val="32"/>
        </w:rPr>
        <w:t>更优美</w:t>
      </w:r>
      <w:r>
        <w:rPr>
          <w:rFonts w:ascii="Times New Roman" w:hAnsi="Times New Roman" w:eastAsia="仿宋_GB2312"/>
          <w:b/>
          <w:sz w:val="32"/>
          <w:szCs w:val="32"/>
        </w:rPr>
        <w:t>。</w:t>
      </w:r>
      <w:r>
        <w:rPr>
          <w:rFonts w:ascii="Times New Roman" w:hAnsi="Times New Roman" w:eastAsia="仿宋_GB2312"/>
          <w:sz w:val="32"/>
          <w:szCs w:val="32"/>
        </w:rPr>
        <w:t>生态环境质量持续改善，资源节约和环境友好的国土开发、产业结构、生产方式、生活方式基本形成，主要污染物排放总量</w:t>
      </w:r>
      <w:r>
        <w:rPr>
          <w:rFonts w:hint="eastAsia" w:ascii="Times New Roman" w:hAnsi="Times New Roman" w:eastAsia="仿宋_GB2312"/>
          <w:sz w:val="32"/>
          <w:szCs w:val="32"/>
        </w:rPr>
        <w:t>控制在较低水平</w:t>
      </w:r>
      <w:r>
        <w:rPr>
          <w:rFonts w:ascii="Times New Roman" w:hAnsi="Times New Roman" w:eastAsia="仿宋_GB2312"/>
          <w:sz w:val="32"/>
          <w:szCs w:val="32"/>
        </w:rPr>
        <w:t>，水、土壤、空气三大污染得到有效治理。</w:t>
      </w:r>
      <w:r>
        <w:rPr>
          <w:rFonts w:hint="eastAsia" w:ascii="Times New Roman" w:hAnsi="Times New Roman" w:eastAsia="仿宋_GB2312"/>
          <w:sz w:val="32"/>
          <w:szCs w:val="32"/>
        </w:rPr>
        <w:t>生态环境优美，龙眠山水清新洁净，</w:t>
      </w:r>
      <w:r>
        <w:rPr>
          <w:rFonts w:ascii="Times New Roman" w:hAnsi="Times New Roman" w:eastAsia="仿宋_GB2312"/>
          <w:sz w:val="32"/>
          <w:szCs w:val="32"/>
        </w:rPr>
        <w:t>生态安全屏障更加牢固、生态文明制度更加健全。到2025年，全市细颗粒物平均浓度达国家和省考核要求，空气质量优良率达</w:t>
      </w:r>
      <w:r>
        <w:rPr>
          <w:rFonts w:hint="eastAsia" w:ascii="Times New Roman" w:hAnsi="Times New Roman" w:eastAsia="仿宋_GB2312"/>
          <w:sz w:val="32"/>
          <w:szCs w:val="32"/>
        </w:rPr>
        <w:t>88</w:t>
      </w:r>
      <w:r>
        <w:rPr>
          <w:rFonts w:ascii="Times New Roman" w:hAnsi="Times New Roman" w:eastAsia="仿宋_GB2312"/>
          <w:sz w:val="32"/>
          <w:szCs w:val="32"/>
        </w:rPr>
        <w:t>%以上，地表水考核监测断面达标率达</w:t>
      </w:r>
      <w:r>
        <w:rPr>
          <w:rFonts w:hint="eastAsia" w:ascii="Times New Roman" w:hAnsi="Times New Roman" w:eastAsia="仿宋_GB2312"/>
          <w:sz w:val="32"/>
          <w:szCs w:val="32"/>
        </w:rPr>
        <w:t>100</w:t>
      </w:r>
      <w:r>
        <w:rPr>
          <w:rFonts w:ascii="Times New Roman" w:hAnsi="Times New Roman" w:eastAsia="仿宋_GB2312"/>
          <w:sz w:val="32"/>
          <w:szCs w:val="32"/>
        </w:rPr>
        <w:t>%</w:t>
      </w:r>
      <w:r>
        <w:rPr>
          <w:rFonts w:hint="eastAsia" w:ascii="Times New Roman" w:hAnsi="Times New Roman" w:eastAsia="仿宋_GB2312"/>
          <w:sz w:val="32"/>
          <w:szCs w:val="32"/>
        </w:rPr>
        <w:t>，争创全国生态文明建设示范市、国家森林城市。</w:t>
      </w:r>
    </w:p>
    <w:p w14:paraId="2F2B6E93">
      <w:pPr>
        <w:ind w:firstLine="643" w:firstLineChars="200"/>
        <w:rPr>
          <w:rFonts w:ascii="Times New Roman" w:hAnsi="Times New Roman" w:eastAsia="仿宋_GB2312"/>
          <w:sz w:val="32"/>
          <w:szCs w:val="32"/>
        </w:rPr>
      </w:pPr>
      <w:r>
        <w:rPr>
          <w:rFonts w:ascii="Times New Roman" w:hAnsi="Times New Roman" w:eastAsia="仿宋_GB2312"/>
          <w:b/>
          <w:sz w:val="32"/>
          <w:szCs w:val="40"/>
        </w:rPr>
        <w:t>——</w:t>
      </w:r>
      <w:r>
        <w:rPr>
          <w:rFonts w:hint="eastAsia" w:ascii="Times New Roman" w:hAnsi="Times New Roman" w:eastAsia="仿宋_GB2312"/>
          <w:b/>
          <w:sz w:val="32"/>
          <w:szCs w:val="32"/>
        </w:rPr>
        <w:t>人民</w:t>
      </w:r>
      <w:r>
        <w:rPr>
          <w:rFonts w:ascii="Times New Roman" w:hAnsi="Times New Roman" w:eastAsia="仿宋_GB2312"/>
          <w:b/>
          <w:sz w:val="32"/>
          <w:szCs w:val="32"/>
        </w:rPr>
        <w:t>生活更幸福。</w:t>
      </w:r>
      <w:r>
        <w:rPr>
          <w:rFonts w:ascii="Times New Roman" w:hAnsi="Times New Roman" w:eastAsia="仿宋_GB2312"/>
          <w:sz w:val="32"/>
          <w:szCs w:val="32"/>
        </w:rPr>
        <w:t>脱贫攻坚成果得到有效巩固提升，</w:t>
      </w:r>
      <w:r>
        <w:rPr>
          <w:rFonts w:hint="eastAsia" w:ascii="Times New Roman" w:hAnsi="Times New Roman" w:eastAsia="仿宋_GB2312"/>
          <w:sz w:val="32"/>
          <w:szCs w:val="32"/>
        </w:rPr>
        <w:t>乡村振兴战略扎实推进，城乡居民收入增速</w:t>
      </w:r>
      <w:r>
        <w:rPr>
          <w:rFonts w:hint="eastAsia" w:ascii="Times New Roman" w:hAnsi="Times New Roman" w:eastAsia="仿宋_GB2312"/>
          <w:sz w:val="32"/>
          <w:szCs w:val="32"/>
          <w:lang w:val="en-US" w:eastAsia="zh-CN"/>
        </w:rPr>
        <w:t>与</w:t>
      </w:r>
      <w:r>
        <w:rPr>
          <w:rFonts w:hint="eastAsia" w:ascii="Times New Roman" w:hAnsi="Times New Roman" w:eastAsia="仿宋_GB2312"/>
          <w:sz w:val="32"/>
          <w:szCs w:val="32"/>
        </w:rPr>
        <w:t>经济增长</w:t>
      </w:r>
      <w:r>
        <w:rPr>
          <w:rFonts w:hint="eastAsia" w:ascii="Times New Roman" w:hAnsi="Times New Roman" w:eastAsia="仿宋_GB2312"/>
          <w:sz w:val="32"/>
          <w:szCs w:val="32"/>
          <w:lang w:val="en-US" w:eastAsia="zh-CN"/>
        </w:rPr>
        <w:t>基本持平</w:t>
      </w:r>
      <w:r>
        <w:rPr>
          <w:rFonts w:hint="eastAsia" w:ascii="Times New Roman" w:hAnsi="Times New Roman" w:eastAsia="仿宋_GB2312"/>
          <w:sz w:val="32"/>
          <w:szCs w:val="32"/>
        </w:rPr>
        <w:t>。城乡基本公共服</w:t>
      </w:r>
      <w:r>
        <w:rPr>
          <w:rFonts w:ascii="Times New Roman" w:hAnsi="Times New Roman" w:eastAsia="仿宋_GB2312"/>
          <w:sz w:val="32"/>
          <w:szCs w:val="32"/>
        </w:rPr>
        <w:t>务和社会保障水平全面提升，基本公共服务均等化水平进一步提高，</w:t>
      </w:r>
      <w:r>
        <w:rPr>
          <w:rFonts w:ascii="Times New Roman" w:hAnsi="Times New Roman" w:eastAsia="仿宋_GB2312"/>
          <w:sz w:val="32"/>
          <w:szCs w:val="40"/>
        </w:rPr>
        <w:t>人民群众幸福感、获得感、安全</w:t>
      </w:r>
      <w:r>
        <w:rPr>
          <w:rFonts w:hint="eastAsia" w:ascii="Times New Roman" w:hAnsi="Times New Roman" w:eastAsia="仿宋_GB2312"/>
          <w:sz w:val="32"/>
          <w:szCs w:val="40"/>
          <w:lang w:val="en-US" w:eastAsia="zh-CN"/>
        </w:rPr>
        <w:t>感</w:t>
      </w:r>
      <w:r>
        <w:rPr>
          <w:rFonts w:ascii="Times New Roman" w:hAnsi="Times New Roman" w:eastAsia="仿宋_GB2312"/>
          <w:sz w:val="32"/>
          <w:szCs w:val="40"/>
        </w:rPr>
        <w:t>显著提升。到2025年，劳动年龄人口平均受教育年限达到</w:t>
      </w:r>
      <w:r>
        <w:rPr>
          <w:rFonts w:hint="eastAsia" w:ascii="Times New Roman" w:hAnsi="Times New Roman" w:eastAsia="仿宋_GB2312"/>
          <w:sz w:val="32"/>
          <w:szCs w:val="40"/>
        </w:rPr>
        <w:t>11.5</w:t>
      </w:r>
      <w:r>
        <w:rPr>
          <w:rFonts w:ascii="Times New Roman" w:hAnsi="Times New Roman" w:eastAsia="仿宋_GB2312"/>
          <w:sz w:val="32"/>
          <w:szCs w:val="40"/>
        </w:rPr>
        <w:t>年，城乡居民人均可支配收入</w:t>
      </w:r>
      <w:r>
        <w:rPr>
          <w:rFonts w:hint="eastAsia" w:ascii="Times New Roman" w:hAnsi="Times New Roman" w:eastAsia="仿宋_GB2312"/>
          <w:sz w:val="32"/>
          <w:szCs w:val="40"/>
        </w:rPr>
        <w:t>增速</w:t>
      </w:r>
      <w:r>
        <w:rPr>
          <w:rFonts w:hint="eastAsia" w:ascii="Times New Roman" w:hAnsi="Times New Roman" w:eastAsia="仿宋_GB2312"/>
          <w:sz w:val="32"/>
          <w:szCs w:val="40"/>
          <w:lang w:val="en-US" w:eastAsia="zh-CN"/>
        </w:rPr>
        <w:t>10</w:t>
      </w:r>
      <w:r>
        <w:rPr>
          <w:rFonts w:hint="eastAsia" w:ascii="Times New Roman" w:hAnsi="Times New Roman" w:eastAsia="仿宋_GB2312"/>
          <w:sz w:val="32"/>
          <w:szCs w:val="40"/>
        </w:rPr>
        <w:t>%</w:t>
      </w:r>
      <w:r>
        <w:rPr>
          <w:rFonts w:ascii="Times New Roman" w:hAnsi="Times New Roman" w:eastAsia="仿宋_GB2312"/>
          <w:sz w:val="32"/>
          <w:szCs w:val="40"/>
        </w:rPr>
        <w:t>。</w:t>
      </w:r>
      <w:r>
        <w:rPr>
          <w:rFonts w:hint="eastAsia" w:ascii="Times New Roman" w:hAnsi="Times New Roman" w:eastAsia="仿宋_GB2312"/>
          <w:sz w:val="32"/>
          <w:szCs w:val="40"/>
        </w:rPr>
        <w:t>积极争创国家卫生城市，巩固提升全国文明城市创建成果。</w:t>
      </w:r>
    </w:p>
    <w:p w14:paraId="77430323">
      <w:pPr>
        <w:ind w:firstLine="643" w:firstLineChars="200"/>
        <w:rPr>
          <w:rFonts w:ascii="Times New Roman" w:hAnsi="Times New Roman" w:eastAsia="仿宋_GB2312"/>
          <w:sz w:val="32"/>
          <w:szCs w:val="32"/>
        </w:rPr>
      </w:pPr>
      <w:r>
        <w:rPr>
          <w:rFonts w:ascii="Times New Roman" w:hAnsi="Times New Roman" w:eastAsia="仿宋_GB2312"/>
          <w:b/>
          <w:sz w:val="32"/>
          <w:szCs w:val="40"/>
        </w:rPr>
        <w:t>——社会</w:t>
      </w:r>
      <w:r>
        <w:rPr>
          <w:rFonts w:ascii="Times New Roman" w:hAnsi="Times New Roman" w:eastAsia="仿宋_GB2312"/>
          <w:b/>
          <w:sz w:val="32"/>
          <w:szCs w:val="32"/>
        </w:rPr>
        <w:t>治理更有效。</w:t>
      </w:r>
      <w:r>
        <w:rPr>
          <w:rFonts w:hint="eastAsia" w:ascii="Times New Roman" w:hAnsi="Times New Roman" w:eastAsia="仿宋_GB2312"/>
          <w:sz w:val="32"/>
          <w:szCs w:val="32"/>
        </w:rPr>
        <w:t>共建共享共治的社会治理体系持续完善，行政效能和社会公信力显著提升，县域</w:t>
      </w:r>
      <w:r>
        <w:rPr>
          <w:rFonts w:ascii="Times New Roman" w:hAnsi="Times New Roman" w:eastAsia="仿宋_GB2312"/>
          <w:sz w:val="32"/>
          <w:szCs w:val="32"/>
        </w:rPr>
        <w:t>社会治理现代化</w:t>
      </w:r>
      <w:r>
        <w:rPr>
          <w:rFonts w:hint="eastAsia" w:ascii="Times New Roman" w:hAnsi="Times New Roman" w:eastAsia="仿宋_GB2312"/>
          <w:sz w:val="32"/>
          <w:szCs w:val="32"/>
        </w:rPr>
        <w:t>基本实现</w:t>
      </w:r>
      <w:r>
        <w:rPr>
          <w:rFonts w:ascii="Times New Roman" w:hAnsi="Times New Roman" w:eastAsia="仿宋_GB2312"/>
          <w:sz w:val="32"/>
          <w:szCs w:val="32"/>
        </w:rPr>
        <w:t>，防范化解重大风险体制机制更加健全。</w:t>
      </w:r>
      <w:r>
        <w:rPr>
          <w:rFonts w:hint="eastAsia" w:ascii="Times New Roman" w:hAnsi="Times New Roman" w:eastAsia="仿宋_GB2312"/>
          <w:sz w:val="32"/>
          <w:szCs w:val="32"/>
        </w:rPr>
        <w:t>突发公共事件应急能力大幅增强，自然灾害防御水平明显提高。民主法治建设迈出重大步伐，社会公平正义充分彰显，国防动员水平不断提升。</w:t>
      </w:r>
    </w:p>
    <w:p w14:paraId="2E2FCA22">
      <w:pPr>
        <w:jc w:val="center"/>
        <w:rPr>
          <w:rFonts w:hint="eastAsia" w:ascii="Times New Roman" w:hAnsi="Times New Roman" w:eastAsia="黑体"/>
          <w:sz w:val="28"/>
          <w:szCs w:val="28"/>
        </w:rPr>
      </w:pPr>
    </w:p>
    <w:p w14:paraId="601D1EBF">
      <w:pPr>
        <w:jc w:val="center"/>
        <w:rPr>
          <w:rFonts w:ascii="Times New Roman" w:hAnsi="Times New Roman"/>
          <w:b/>
          <w:sz w:val="32"/>
          <w:szCs w:val="40"/>
        </w:rPr>
      </w:pPr>
      <w:r>
        <w:rPr>
          <w:rFonts w:hint="eastAsia" w:ascii="Times New Roman" w:hAnsi="Times New Roman" w:eastAsia="黑体"/>
          <w:sz w:val="28"/>
          <w:szCs w:val="28"/>
        </w:rPr>
        <w:t>表2</w:t>
      </w:r>
      <w:r>
        <w:rPr>
          <w:rFonts w:ascii="Times New Roman" w:hAnsi="Times New Roman" w:eastAsia="黑体"/>
          <w:sz w:val="28"/>
          <w:szCs w:val="28"/>
        </w:rPr>
        <w:t>桐城市“十四五”经济社会发展主要目标</w:t>
      </w:r>
    </w:p>
    <w:tbl>
      <w:tblPr>
        <w:tblStyle w:val="19"/>
        <w:tblW w:w="8986" w:type="dxa"/>
        <w:jc w:val="center"/>
        <w:tblLayout w:type="fixed"/>
        <w:tblCellMar>
          <w:top w:w="0" w:type="dxa"/>
          <w:left w:w="108" w:type="dxa"/>
          <w:bottom w:w="0" w:type="dxa"/>
          <w:right w:w="108" w:type="dxa"/>
        </w:tblCellMar>
      </w:tblPr>
      <w:tblGrid>
        <w:gridCol w:w="416"/>
        <w:gridCol w:w="1315"/>
        <w:gridCol w:w="54"/>
        <w:gridCol w:w="3233"/>
        <w:gridCol w:w="1134"/>
        <w:gridCol w:w="1134"/>
        <w:gridCol w:w="821"/>
        <w:gridCol w:w="879"/>
      </w:tblGrid>
      <w:tr w14:paraId="22CC5223">
        <w:tblPrEx>
          <w:tblCellMar>
            <w:top w:w="0" w:type="dxa"/>
            <w:left w:w="108" w:type="dxa"/>
            <w:bottom w:w="0" w:type="dxa"/>
            <w:right w:w="108" w:type="dxa"/>
          </w:tblCellMar>
        </w:tblPrEx>
        <w:trPr>
          <w:trHeight w:val="872" w:hRule="exact"/>
          <w:jc w:val="center"/>
        </w:trPr>
        <w:tc>
          <w:tcPr>
            <w:tcW w:w="416" w:type="dxa"/>
            <w:tcBorders>
              <w:top w:val="single" w:color="000000" w:sz="8" w:space="0"/>
              <w:left w:val="single" w:color="000000" w:sz="8" w:space="0"/>
              <w:bottom w:val="single" w:color="000000" w:sz="8" w:space="0"/>
              <w:right w:val="single" w:color="000000" w:sz="8" w:space="0"/>
            </w:tcBorders>
            <w:vAlign w:val="center"/>
          </w:tcPr>
          <w:p w14:paraId="0B3A0A5C">
            <w:pPr>
              <w:jc w:val="center"/>
              <w:rPr>
                <w:rFonts w:ascii="黑体" w:hAnsi="黑体" w:eastAsia="黑体" w:cs="黑体"/>
                <w:sz w:val="20"/>
                <w:szCs w:val="21"/>
              </w:rPr>
            </w:pPr>
            <w:r>
              <w:rPr>
                <w:rFonts w:hint="eastAsia" w:ascii="黑体" w:hAnsi="黑体" w:eastAsia="黑体" w:cs="黑体"/>
                <w:sz w:val="20"/>
                <w:szCs w:val="21"/>
              </w:rPr>
              <w:t>类别</w:t>
            </w:r>
          </w:p>
        </w:tc>
        <w:tc>
          <w:tcPr>
            <w:tcW w:w="4602" w:type="dxa"/>
            <w:gridSpan w:val="3"/>
            <w:tcBorders>
              <w:top w:val="single" w:color="000000" w:sz="8" w:space="0"/>
              <w:left w:val="nil"/>
              <w:bottom w:val="single" w:color="000000" w:sz="8" w:space="0"/>
              <w:right w:val="single" w:color="auto" w:sz="8" w:space="0"/>
            </w:tcBorders>
            <w:vAlign w:val="center"/>
          </w:tcPr>
          <w:p w14:paraId="0DF7BE64">
            <w:pPr>
              <w:jc w:val="center"/>
              <w:rPr>
                <w:rFonts w:ascii="黑体" w:hAnsi="黑体" w:eastAsia="黑体" w:cs="黑体"/>
                <w:sz w:val="20"/>
                <w:szCs w:val="21"/>
              </w:rPr>
            </w:pPr>
            <w:r>
              <w:rPr>
                <w:rFonts w:hint="eastAsia" w:ascii="黑体" w:hAnsi="黑体" w:eastAsia="黑体" w:cs="黑体"/>
                <w:sz w:val="20"/>
                <w:szCs w:val="21"/>
              </w:rPr>
              <w:t>指  标</w:t>
            </w:r>
          </w:p>
        </w:tc>
        <w:tc>
          <w:tcPr>
            <w:tcW w:w="1134" w:type="dxa"/>
            <w:tcBorders>
              <w:top w:val="single" w:color="auto" w:sz="8" w:space="0"/>
              <w:left w:val="single" w:color="auto" w:sz="8" w:space="0"/>
              <w:bottom w:val="single" w:color="auto" w:sz="8" w:space="0"/>
              <w:right w:val="single" w:color="auto" w:sz="8" w:space="0"/>
            </w:tcBorders>
            <w:vAlign w:val="center"/>
          </w:tcPr>
          <w:p w14:paraId="1629C739">
            <w:pPr>
              <w:jc w:val="center"/>
              <w:rPr>
                <w:rFonts w:ascii="黑体" w:hAnsi="黑体" w:eastAsia="黑体" w:cs="黑体"/>
                <w:sz w:val="20"/>
                <w:szCs w:val="21"/>
              </w:rPr>
            </w:pPr>
            <w:r>
              <w:rPr>
                <w:rFonts w:hint="eastAsia" w:ascii="黑体" w:hAnsi="黑体" w:eastAsia="黑体" w:cs="黑体"/>
                <w:sz w:val="20"/>
                <w:szCs w:val="21"/>
              </w:rPr>
              <w:t>2020年</w:t>
            </w:r>
          </w:p>
        </w:tc>
        <w:tc>
          <w:tcPr>
            <w:tcW w:w="1134" w:type="dxa"/>
            <w:tcBorders>
              <w:top w:val="single" w:color="auto" w:sz="8" w:space="0"/>
              <w:left w:val="single" w:color="auto" w:sz="8" w:space="0"/>
              <w:bottom w:val="single" w:color="auto" w:sz="8" w:space="0"/>
              <w:right w:val="single" w:color="auto" w:sz="8" w:space="0"/>
            </w:tcBorders>
            <w:vAlign w:val="center"/>
          </w:tcPr>
          <w:p w14:paraId="16C6E8EB">
            <w:pPr>
              <w:jc w:val="center"/>
              <w:rPr>
                <w:rFonts w:ascii="黑体" w:hAnsi="黑体" w:eastAsia="黑体" w:cs="黑体"/>
                <w:sz w:val="20"/>
                <w:szCs w:val="21"/>
              </w:rPr>
            </w:pPr>
            <w:r>
              <w:rPr>
                <w:rFonts w:hint="eastAsia" w:ascii="黑体" w:hAnsi="黑体" w:eastAsia="黑体" w:cs="黑体"/>
                <w:sz w:val="20"/>
                <w:szCs w:val="21"/>
              </w:rPr>
              <w:t>2025年</w:t>
            </w:r>
          </w:p>
        </w:tc>
        <w:tc>
          <w:tcPr>
            <w:tcW w:w="821" w:type="dxa"/>
            <w:tcBorders>
              <w:top w:val="single" w:color="auto" w:sz="8" w:space="0"/>
              <w:left w:val="single" w:color="auto" w:sz="8" w:space="0"/>
              <w:bottom w:val="single" w:color="auto" w:sz="8" w:space="0"/>
              <w:right w:val="single" w:color="auto" w:sz="8" w:space="0"/>
            </w:tcBorders>
            <w:vAlign w:val="center"/>
          </w:tcPr>
          <w:p w14:paraId="6F5BCAB9">
            <w:pPr>
              <w:jc w:val="center"/>
              <w:rPr>
                <w:rFonts w:ascii="黑体" w:hAnsi="黑体" w:eastAsia="黑体" w:cs="黑体"/>
                <w:sz w:val="20"/>
                <w:szCs w:val="21"/>
              </w:rPr>
            </w:pPr>
            <w:r>
              <w:rPr>
                <w:rFonts w:hint="eastAsia" w:ascii="黑体" w:hAnsi="黑体" w:eastAsia="黑体" w:cs="黑体"/>
                <w:sz w:val="20"/>
                <w:szCs w:val="21"/>
              </w:rPr>
              <w:t>年均增长(%)</w:t>
            </w:r>
          </w:p>
        </w:tc>
        <w:tc>
          <w:tcPr>
            <w:tcW w:w="879" w:type="dxa"/>
            <w:tcBorders>
              <w:top w:val="single" w:color="auto" w:sz="8" w:space="0"/>
              <w:left w:val="single" w:color="auto" w:sz="8" w:space="0"/>
              <w:bottom w:val="single" w:color="auto" w:sz="8" w:space="0"/>
              <w:right w:val="single" w:color="auto" w:sz="8" w:space="0"/>
            </w:tcBorders>
            <w:vAlign w:val="center"/>
          </w:tcPr>
          <w:p w14:paraId="11F94942">
            <w:pPr>
              <w:jc w:val="center"/>
              <w:rPr>
                <w:rFonts w:ascii="黑体" w:hAnsi="黑体" w:eastAsia="黑体" w:cs="黑体"/>
                <w:sz w:val="20"/>
                <w:szCs w:val="21"/>
              </w:rPr>
            </w:pPr>
            <w:r>
              <w:rPr>
                <w:rFonts w:hint="eastAsia" w:ascii="黑体" w:hAnsi="黑体" w:eastAsia="黑体" w:cs="黑体"/>
                <w:sz w:val="20"/>
                <w:szCs w:val="21"/>
              </w:rPr>
              <w:t>属  性</w:t>
            </w:r>
          </w:p>
        </w:tc>
      </w:tr>
      <w:tr w14:paraId="2BDDDF30">
        <w:tblPrEx>
          <w:tblCellMar>
            <w:top w:w="0" w:type="dxa"/>
            <w:left w:w="108" w:type="dxa"/>
            <w:bottom w:w="0" w:type="dxa"/>
            <w:right w:w="108" w:type="dxa"/>
          </w:tblCellMar>
        </w:tblPrEx>
        <w:trPr>
          <w:trHeight w:val="454" w:hRule="exact"/>
          <w:jc w:val="center"/>
        </w:trPr>
        <w:tc>
          <w:tcPr>
            <w:tcW w:w="416" w:type="dxa"/>
            <w:vMerge w:val="restart"/>
            <w:tcBorders>
              <w:top w:val="nil"/>
              <w:left w:val="single" w:color="000000" w:sz="8" w:space="0"/>
              <w:right w:val="single" w:color="000000" w:sz="8" w:space="0"/>
            </w:tcBorders>
            <w:vAlign w:val="center"/>
          </w:tcPr>
          <w:p w14:paraId="5DE91719">
            <w:pPr>
              <w:jc w:val="center"/>
              <w:rPr>
                <w:rFonts w:ascii="黑体" w:hAnsi="黑体" w:eastAsia="黑体" w:cs="黑体"/>
                <w:sz w:val="20"/>
                <w:szCs w:val="21"/>
              </w:rPr>
            </w:pPr>
            <w:r>
              <w:rPr>
                <w:rFonts w:hint="eastAsia" w:ascii="黑体" w:hAnsi="黑体" w:eastAsia="黑体" w:cs="黑体"/>
                <w:sz w:val="20"/>
                <w:szCs w:val="21"/>
              </w:rPr>
              <w:t>经</w:t>
            </w:r>
          </w:p>
          <w:p w14:paraId="66C05BA4">
            <w:pPr>
              <w:jc w:val="center"/>
              <w:rPr>
                <w:rFonts w:ascii="黑体" w:hAnsi="黑体" w:eastAsia="黑体" w:cs="黑体"/>
                <w:sz w:val="20"/>
                <w:szCs w:val="21"/>
              </w:rPr>
            </w:pPr>
            <w:r>
              <w:rPr>
                <w:rFonts w:hint="eastAsia" w:ascii="黑体" w:hAnsi="黑体" w:eastAsia="黑体" w:cs="黑体"/>
                <w:sz w:val="20"/>
                <w:szCs w:val="21"/>
              </w:rPr>
              <w:t>济</w:t>
            </w:r>
          </w:p>
          <w:p w14:paraId="3AF17176">
            <w:pPr>
              <w:jc w:val="center"/>
              <w:rPr>
                <w:rFonts w:ascii="黑体" w:hAnsi="黑体" w:eastAsia="黑体" w:cs="黑体"/>
                <w:sz w:val="20"/>
                <w:szCs w:val="21"/>
              </w:rPr>
            </w:pPr>
            <w:r>
              <w:rPr>
                <w:rFonts w:hint="eastAsia" w:ascii="黑体" w:hAnsi="黑体" w:eastAsia="黑体" w:cs="黑体"/>
                <w:sz w:val="20"/>
                <w:szCs w:val="21"/>
              </w:rPr>
              <w:t>发</w:t>
            </w:r>
          </w:p>
          <w:p w14:paraId="502D0823">
            <w:pPr>
              <w:jc w:val="center"/>
              <w:rPr>
                <w:rFonts w:ascii="黑体" w:hAnsi="黑体" w:eastAsia="黑体" w:cs="黑体"/>
                <w:sz w:val="20"/>
                <w:szCs w:val="21"/>
              </w:rPr>
            </w:pPr>
            <w:r>
              <w:rPr>
                <w:rFonts w:hint="eastAsia" w:ascii="黑体" w:hAnsi="黑体" w:eastAsia="黑体" w:cs="黑体"/>
                <w:sz w:val="20"/>
                <w:szCs w:val="21"/>
              </w:rPr>
              <w:t>展</w:t>
            </w:r>
          </w:p>
        </w:tc>
        <w:tc>
          <w:tcPr>
            <w:tcW w:w="4602" w:type="dxa"/>
            <w:gridSpan w:val="3"/>
            <w:tcBorders>
              <w:top w:val="nil"/>
              <w:left w:val="nil"/>
              <w:bottom w:val="single" w:color="000000" w:sz="8" w:space="0"/>
              <w:right w:val="single" w:color="auto" w:sz="8" w:space="0"/>
            </w:tcBorders>
            <w:vAlign w:val="center"/>
          </w:tcPr>
          <w:p w14:paraId="1DC9418F">
            <w:pPr>
              <w:adjustRightInd w:val="0"/>
              <w:snapToGrid w:val="0"/>
              <w:jc w:val="left"/>
              <w:rPr>
                <w:rFonts w:ascii="Times New Roman" w:hAnsi="Times New Roman" w:eastAsia="仿宋_GB2312"/>
                <w:sz w:val="20"/>
                <w:szCs w:val="22"/>
              </w:rPr>
            </w:pPr>
            <w:r>
              <w:rPr>
                <w:rFonts w:hint="eastAsia" w:ascii="Times New Roman" w:hAnsi="Times New Roman" w:eastAsia="仿宋_GB2312"/>
                <w:sz w:val="20"/>
                <w:szCs w:val="21"/>
              </w:rPr>
              <w:t>1.地区生产总值（亿元）</w:t>
            </w:r>
          </w:p>
        </w:tc>
        <w:tc>
          <w:tcPr>
            <w:tcW w:w="1134" w:type="dxa"/>
            <w:tcBorders>
              <w:top w:val="single" w:color="auto" w:sz="8" w:space="0"/>
              <w:left w:val="single" w:color="auto" w:sz="8" w:space="0"/>
              <w:bottom w:val="single" w:color="auto" w:sz="8" w:space="0"/>
              <w:right w:val="single" w:color="auto" w:sz="8" w:space="0"/>
            </w:tcBorders>
            <w:vAlign w:val="center"/>
          </w:tcPr>
          <w:p w14:paraId="4D4541FF">
            <w:pPr>
              <w:adjustRightInd w:val="0"/>
              <w:snapToGrid w:val="0"/>
              <w:jc w:val="center"/>
              <w:rPr>
                <w:rFonts w:hint="default" w:ascii="Times New Roman" w:hAnsi="Times New Roman" w:eastAsia="仿宋_GB2312"/>
                <w:sz w:val="20"/>
                <w:szCs w:val="22"/>
                <w:lang w:val="en-US" w:eastAsia="zh-CN"/>
              </w:rPr>
            </w:pPr>
            <w:r>
              <w:rPr>
                <w:rFonts w:hint="eastAsia" w:ascii="Times New Roman" w:hAnsi="Times New Roman" w:eastAsia="仿宋_GB2312"/>
                <w:sz w:val="20"/>
                <w:szCs w:val="22"/>
                <w:lang w:val="en-US" w:eastAsia="zh-CN"/>
              </w:rPr>
              <w:t>392.8</w:t>
            </w:r>
          </w:p>
        </w:tc>
        <w:tc>
          <w:tcPr>
            <w:tcW w:w="1134" w:type="dxa"/>
            <w:tcBorders>
              <w:top w:val="single" w:color="auto" w:sz="8" w:space="0"/>
              <w:left w:val="single" w:color="auto" w:sz="8" w:space="0"/>
              <w:bottom w:val="single" w:color="auto" w:sz="8" w:space="0"/>
              <w:right w:val="single" w:color="auto" w:sz="8" w:space="0"/>
            </w:tcBorders>
            <w:vAlign w:val="center"/>
          </w:tcPr>
          <w:p w14:paraId="1DC8A920">
            <w:pPr>
              <w:adjustRightInd w:val="0"/>
              <w:snapToGrid w:val="0"/>
              <w:jc w:val="center"/>
              <w:rPr>
                <w:rFonts w:eastAsia="仿宋_GB2312"/>
              </w:rPr>
            </w:pPr>
            <w:r>
              <w:rPr>
                <w:rFonts w:hint="eastAsia"/>
              </w:rPr>
              <w:t>700</w:t>
            </w:r>
          </w:p>
        </w:tc>
        <w:tc>
          <w:tcPr>
            <w:tcW w:w="821" w:type="dxa"/>
            <w:tcBorders>
              <w:top w:val="single" w:color="auto" w:sz="8" w:space="0"/>
              <w:left w:val="single" w:color="auto" w:sz="8" w:space="0"/>
              <w:bottom w:val="single" w:color="auto" w:sz="8" w:space="0"/>
              <w:right w:val="single" w:color="auto" w:sz="8" w:space="0"/>
            </w:tcBorders>
            <w:vAlign w:val="center"/>
          </w:tcPr>
          <w:p w14:paraId="34328C90">
            <w:pPr>
              <w:adjustRightInd w:val="0"/>
              <w:snapToGrid w:val="0"/>
              <w:jc w:val="center"/>
              <w:rPr>
                <w:rFonts w:hint="default" w:ascii="Times New Roman" w:hAnsi="Times New Roman" w:eastAsia="仿宋_GB2312"/>
                <w:sz w:val="20"/>
                <w:szCs w:val="22"/>
                <w:lang w:val="en-US" w:eastAsia="zh-CN"/>
              </w:rPr>
            </w:pPr>
            <w:r>
              <w:rPr>
                <w:rFonts w:hint="eastAsia"/>
                <w:lang w:val="en-US" w:eastAsia="zh-CN"/>
              </w:rPr>
              <w:t>10</w:t>
            </w:r>
          </w:p>
        </w:tc>
        <w:tc>
          <w:tcPr>
            <w:tcW w:w="879" w:type="dxa"/>
            <w:tcBorders>
              <w:top w:val="single" w:color="auto" w:sz="8" w:space="0"/>
              <w:left w:val="single" w:color="auto" w:sz="8" w:space="0"/>
              <w:bottom w:val="single" w:color="auto" w:sz="8" w:space="0"/>
              <w:right w:val="single" w:color="auto" w:sz="8" w:space="0"/>
            </w:tcBorders>
            <w:vAlign w:val="center"/>
          </w:tcPr>
          <w:p w14:paraId="4E0A5F59">
            <w:pPr>
              <w:jc w:val="center"/>
              <w:rPr>
                <w:rFonts w:ascii="Times New Roman" w:hAnsi="Times New Roman" w:eastAsia="仿宋_GB2312"/>
                <w:sz w:val="20"/>
                <w:szCs w:val="21"/>
              </w:rPr>
            </w:pPr>
            <w:r>
              <w:rPr>
                <w:rFonts w:hint="eastAsia" w:ascii="Times New Roman" w:hAnsi="Times New Roman" w:eastAsia="仿宋_GB2312"/>
                <w:sz w:val="20"/>
                <w:szCs w:val="21"/>
              </w:rPr>
              <w:t>预期性</w:t>
            </w:r>
          </w:p>
        </w:tc>
      </w:tr>
      <w:tr w14:paraId="406CD18D">
        <w:tblPrEx>
          <w:tblCellMar>
            <w:top w:w="0" w:type="dxa"/>
            <w:left w:w="108" w:type="dxa"/>
            <w:bottom w:w="0" w:type="dxa"/>
            <w:right w:w="108" w:type="dxa"/>
          </w:tblCellMar>
        </w:tblPrEx>
        <w:trPr>
          <w:trHeight w:val="454" w:hRule="exact"/>
          <w:jc w:val="center"/>
        </w:trPr>
        <w:tc>
          <w:tcPr>
            <w:tcW w:w="416" w:type="dxa"/>
            <w:vMerge w:val="continue"/>
            <w:tcBorders>
              <w:left w:val="single" w:color="000000" w:sz="8" w:space="0"/>
              <w:right w:val="single" w:color="000000" w:sz="8" w:space="0"/>
            </w:tcBorders>
            <w:vAlign w:val="center"/>
          </w:tcPr>
          <w:p w14:paraId="5AF32389">
            <w:pPr>
              <w:jc w:val="center"/>
              <w:rPr>
                <w:rFonts w:ascii="黑体" w:hAnsi="黑体" w:eastAsia="黑体" w:cs="黑体"/>
                <w:sz w:val="20"/>
                <w:szCs w:val="21"/>
              </w:rPr>
            </w:pPr>
          </w:p>
        </w:tc>
        <w:tc>
          <w:tcPr>
            <w:tcW w:w="4602" w:type="dxa"/>
            <w:gridSpan w:val="3"/>
            <w:tcBorders>
              <w:top w:val="nil"/>
              <w:left w:val="nil"/>
              <w:bottom w:val="single" w:color="000000" w:sz="8" w:space="0"/>
              <w:right w:val="single" w:color="auto" w:sz="8" w:space="0"/>
            </w:tcBorders>
            <w:vAlign w:val="center"/>
          </w:tcPr>
          <w:p w14:paraId="640E4294">
            <w:pPr>
              <w:adjustRightInd w:val="0"/>
              <w:snapToGrid w:val="0"/>
              <w:jc w:val="left"/>
              <w:rPr>
                <w:rFonts w:ascii="Times New Roman" w:hAnsi="Times New Roman" w:eastAsia="仿宋_GB2312"/>
                <w:color w:val="000000" w:themeColor="text1"/>
                <w:sz w:val="20"/>
              </w:rPr>
            </w:pPr>
            <w:r>
              <w:rPr>
                <w:rFonts w:hint="eastAsia" w:ascii="Times New Roman" w:hAnsi="Times New Roman" w:eastAsia="仿宋_GB2312"/>
                <w:color w:val="000000" w:themeColor="text1"/>
                <w:sz w:val="20"/>
              </w:rPr>
              <w:t>2.</w:t>
            </w:r>
            <w:r>
              <w:rPr>
                <w:rFonts w:hint="eastAsia" w:ascii="Times New Roman" w:hAnsi="Times New Roman" w:eastAsia="仿宋_GB2312"/>
                <w:color w:val="000000" w:themeColor="text1"/>
                <w:sz w:val="20"/>
                <w:szCs w:val="21"/>
              </w:rPr>
              <w:t>人均地区生产总值（元）</w:t>
            </w:r>
          </w:p>
        </w:tc>
        <w:tc>
          <w:tcPr>
            <w:tcW w:w="1134" w:type="dxa"/>
            <w:tcBorders>
              <w:top w:val="single" w:color="auto" w:sz="8" w:space="0"/>
              <w:left w:val="single" w:color="auto" w:sz="8" w:space="0"/>
              <w:bottom w:val="single" w:color="auto" w:sz="8" w:space="0"/>
              <w:right w:val="single" w:color="auto" w:sz="8" w:space="0"/>
            </w:tcBorders>
            <w:vAlign w:val="center"/>
          </w:tcPr>
          <w:p w14:paraId="0C079108">
            <w:pPr>
              <w:adjustRightInd w:val="0"/>
              <w:snapToGrid w:val="0"/>
              <w:jc w:val="center"/>
              <w:rPr>
                <w:rFonts w:ascii="Times New Roman" w:hAnsi="Times New Roman" w:eastAsia="仿宋_GB2312"/>
                <w:sz w:val="20"/>
              </w:rPr>
            </w:pPr>
            <w:r>
              <w:rPr>
                <w:rFonts w:hint="eastAsia" w:ascii="Times New Roman" w:hAnsi="Times New Roman" w:eastAsia="仿宋_GB2312"/>
                <w:sz w:val="20"/>
              </w:rPr>
              <w:t>5</w:t>
            </w:r>
            <w:r>
              <w:rPr>
                <w:rFonts w:hint="eastAsia" w:ascii="Times New Roman" w:hAnsi="Times New Roman" w:eastAsia="仿宋_GB2312"/>
                <w:sz w:val="20"/>
                <w:lang w:val="en-US" w:eastAsia="zh-CN"/>
              </w:rPr>
              <w:t>7</w:t>
            </w:r>
            <w:r>
              <w:rPr>
                <w:rFonts w:hint="eastAsia" w:ascii="Times New Roman" w:hAnsi="Times New Roman" w:eastAsia="仿宋_GB2312"/>
                <w:sz w:val="20"/>
              </w:rPr>
              <w:t>300</w:t>
            </w:r>
          </w:p>
        </w:tc>
        <w:tc>
          <w:tcPr>
            <w:tcW w:w="1134" w:type="dxa"/>
            <w:tcBorders>
              <w:top w:val="single" w:color="auto" w:sz="8" w:space="0"/>
              <w:left w:val="single" w:color="auto" w:sz="8" w:space="0"/>
              <w:bottom w:val="single" w:color="auto" w:sz="8" w:space="0"/>
              <w:right w:val="single" w:color="auto" w:sz="8" w:space="0"/>
            </w:tcBorders>
            <w:vAlign w:val="center"/>
          </w:tcPr>
          <w:p w14:paraId="5B8C5C2D">
            <w:pPr>
              <w:adjustRightInd w:val="0"/>
              <w:snapToGrid w:val="0"/>
              <w:jc w:val="center"/>
              <w:rPr>
                <w:rFonts w:ascii="Times New Roman" w:hAnsi="Times New Roman" w:eastAsia="仿宋_GB2312"/>
                <w:sz w:val="20"/>
              </w:rPr>
            </w:pPr>
            <w:r>
              <w:rPr>
                <w:rFonts w:hint="eastAsia" w:ascii="Times New Roman" w:hAnsi="Times New Roman" w:eastAsia="仿宋_GB2312"/>
                <w:sz w:val="20"/>
                <w:lang w:val="en-US" w:eastAsia="zh-CN"/>
              </w:rPr>
              <w:t>102</w:t>
            </w:r>
            <w:r>
              <w:rPr>
                <w:rFonts w:hint="eastAsia" w:ascii="Times New Roman" w:hAnsi="Times New Roman" w:eastAsia="仿宋_GB2312"/>
                <w:sz w:val="20"/>
              </w:rPr>
              <w:t>000</w:t>
            </w:r>
          </w:p>
        </w:tc>
        <w:tc>
          <w:tcPr>
            <w:tcW w:w="821" w:type="dxa"/>
            <w:tcBorders>
              <w:top w:val="single" w:color="auto" w:sz="8" w:space="0"/>
              <w:left w:val="single" w:color="auto" w:sz="8" w:space="0"/>
              <w:bottom w:val="single" w:color="auto" w:sz="8" w:space="0"/>
              <w:right w:val="single" w:color="auto" w:sz="8" w:space="0"/>
            </w:tcBorders>
            <w:vAlign w:val="center"/>
          </w:tcPr>
          <w:p w14:paraId="2CC8ED6D">
            <w:pPr>
              <w:adjustRightInd w:val="0"/>
              <w:snapToGrid w:val="0"/>
              <w:jc w:val="center"/>
              <w:rPr>
                <w:rFonts w:ascii="Times New Roman" w:hAnsi="Times New Roman" w:eastAsia="仿宋_GB2312"/>
                <w:sz w:val="20"/>
              </w:rPr>
            </w:pPr>
            <w:r>
              <w:rPr>
                <w:rFonts w:hint="eastAsia" w:ascii="Times New Roman" w:hAnsi="Times New Roman" w:eastAsia="仿宋_GB2312"/>
                <w:sz w:val="20"/>
              </w:rPr>
              <w:t>11</w:t>
            </w:r>
          </w:p>
        </w:tc>
        <w:tc>
          <w:tcPr>
            <w:tcW w:w="879" w:type="dxa"/>
            <w:tcBorders>
              <w:top w:val="single" w:color="auto" w:sz="8" w:space="0"/>
              <w:left w:val="single" w:color="auto" w:sz="8" w:space="0"/>
              <w:bottom w:val="single" w:color="auto" w:sz="8" w:space="0"/>
              <w:right w:val="single" w:color="auto" w:sz="8" w:space="0"/>
            </w:tcBorders>
            <w:vAlign w:val="center"/>
          </w:tcPr>
          <w:p w14:paraId="1BE9A950">
            <w:pPr>
              <w:jc w:val="center"/>
              <w:rPr>
                <w:rFonts w:ascii="Times New Roman" w:hAnsi="Times New Roman" w:eastAsia="仿宋_GB2312"/>
                <w:sz w:val="20"/>
                <w:szCs w:val="21"/>
              </w:rPr>
            </w:pPr>
            <w:r>
              <w:rPr>
                <w:rFonts w:hint="eastAsia" w:ascii="Times New Roman" w:hAnsi="Times New Roman" w:eastAsia="仿宋_GB2312"/>
                <w:sz w:val="20"/>
                <w:szCs w:val="21"/>
              </w:rPr>
              <w:t>预期性</w:t>
            </w:r>
          </w:p>
        </w:tc>
      </w:tr>
      <w:tr w14:paraId="1A0B55E5">
        <w:tblPrEx>
          <w:tblCellMar>
            <w:top w:w="0" w:type="dxa"/>
            <w:left w:w="108" w:type="dxa"/>
            <w:bottom w:w="0" w:type="dxa"/>
            <w:right w:w="108" w:type="dxa"/>
          </w:tblCellMar>
        </w:tblPrEx>
        <w:trPr>
          <w:trHeight w:val="454" w:hRule="exact"/>
          <w:jc w:val="center"/>
        </w:trPr>
        <w:tc>
          <w:tcPr>
            <w:tcW w:w="416" w:type="dxa"/>
            <w:vMerge w:val="continue"/>
            <w:tcBorders>
              <w:left w:val="single" w:color="000000" w:sz="8" w:space="0"/>
              <w:right w:val="single" w:color="000000" w:sz="8" w:space="0"/>
            </w:tcBorders>
            <w:vAlign w:val="center"/>
          </w:tcPr>
          <w:p w14:paraId="0AC8C994">
            <w:pPr>
              <w:jc w:val="center"/>
              <w:rPr>
                <w:rFonts w:ascii="黑体" w:hAnsi="黑体" w:eastAsia="黑体" w:cs="黑体"/>
                <w:sz w:val="20"/>
                <w:szCs w:val="21"/>
              </w:rPr>
            </w:pPr>
          </w:p>
        </w:tc>
        <w:tc>
          <w:tcPr>
            <w:tcW w:w="4602" w:type="dxa"/>
            <w:gridSpan w:val="3"/>
            <w:tcBorders>
              <w:top w:val="nil"/>
              <w:left w:val="nil"/>
              <w:bottom w:val="single" w:color="000000" w:sz="8" w:space="0"/>
              <w:right w:val="single" w:color="auto" w:sz="8" w:space="0"/>
            </w:tcBorders>
            <w:vAlign w:val="center"/>
          </w:tcPr>
          <w:p w14:paraId="6D67A57E">
            <w:pPr>
              <w:adjustRightInd w:val="0"/>
              <w:snapToGrid w:val="0"/>
              <w:jc w:val="left"/>
              <w:rPr>
                <w:rFonts w:ascii="Times New Roman" w:hAnsi="Times New Roman" w:eastAsia="仿宋_GB2312"/>
                <w:color w:val="000000" w:themeColor="text1"/>
                <w:sz w:val="20"/>
              </w:rPr>
            </w:pPr>
            <w:r>
              <w:rPr>
                <w:rFonts w:hint="eastAsia" w:ascii="Times New Roman" w:hAnsi="Times New Roman" w:eastAsia="仿宋_GB2312"/>
                <w:color w:val="000000" w:themeColor="text1"/>
                <w:sz w:val="20"/>
              </w:rPr>
              <w:t>3.</w:t>
            </w:r>
            <w:r>
              <w:rPr>
                <w:rFonts w:hint="eastAsia" w:ascii="Times New Roman" w:hAnsi="Times New Roman" w:eastAsia="仿宋_GB2312"/>
                <w:color w:val="000000" w:themeColor="text1"/>
                <w:sz w:val="20"/>
                <w:szCs w:val="21"/>
              </w:rPr>
              <w:t>全员劳动生产率（万元/人）</w:t>
            </w:r>
          </w:p>
        </w:tc>
        <w:tc>
          <w:tcPr>
            <w:tcW w:w="1134" w:type="dxa"/>
            <w:tcBorders>
              <w:top w:val="single" w:color="auto" w:sz="8" w:space="0"/>
              <w:left w:val="single" w:color="auto" w:sz="8" w:space="0"/>
              <w:bottom w:val="single" w:color="auto" w:sz="8" w:space="0"/>
              <w:right w:val="single" w:color="auto" w:sz="8" w:space="0"/>
            </w:tcBorders>
            <w:vAlign w:val="center"/>
          </w:tcPr>
          <w:p w14:paraId="02D7AC51">
            <w:pPr>
              <w:adjustRightInd w:val="0"/>
              <w:snapToGrid w:val="0"/>
              <w:jc w:val="center"/>
              <w:rPr>
                <w:rFonts w:hint="eastAsia" w:ascii="Times New Roman" w:hAnsi="Times New Roman" w:eastAsia="仿宋_GB2312"/>
                <w:sz w:val="20"/>
                <w:lang w:val="en-US" w:eastAsia="zh-CN"/>
              </w:rPr>
            </w:pPr>
            <w:r>
              <w:rPr>
                <w:rFonts w:hint="eastAsia" w:ascii="Times New Roman" w:hAnsi="Times New Roman" w:eastAsia="仿宋_GB2312"/>
                <w:sz w:val="20"/>
                <w:lang w:val="en-US" w:eastAsia="zh-CN"/>
              </w:rPr>
              <w:t>—</w:t>
            </w:r>
          </w:p>
        </w:tc>
        <w:tc>
          <w:tcPr>
            <w:tcW w:w="1134" w:type="dxa"/>
            <w:tcBorders>
              <w:top w:val="single" w:color="auto" w:sz="8" w:space="0"/>
              <w:left w:val="single" w:color="auto" w:sz="8" w:space="0"/>
              <w:bottom w:val="single" w:color="auto" w:sz="8" w:space="0"/>
              <w:right w:val="single" w:color="auto" w:sz="8" w:space="0"/>
            </w:tcBorders>
            <w:vAlign w:val="center"/>
          </w:tcPr>
          <w:p w14:paraId="2E2D0B39">
            <w:pPr>
              <w:adjustRightInd w:val="0"/>
              <w:snapToGrid w:val="0"/>
              <w:jc w:val="center"/>
              <w:rPr>
                <w:rFonts w:hint="eastAsia" w:ascii="Times New Roman" w:hAnsi="Times New Roman" w:eastAsia="仿宋_GB2312"/>
                <w:sz w:val="20"/>
                <w:lang w:val="en-US" w:eastAsia="zh-CN"/>
              </w:rPr>
            </w:pPr>
            <w:r>
              <w:rPr>
                <w:rFonts w:hint="eastAsia" w:ascii="Times New Roman" w:hAnsi="Times New Roman" w:eastAsia="仿宋_GB2312"/>
                <w:sz w:val="20"/>
                <w:lang w:val="en-US" w:eastAsia="zh-CN"/>
              </w:rPr>
              <w:t>—</w:t>
            </w:r>
          </w:p>
        </w:tc>
        <w:tc>
          <w:tcPr>
            <w:tcW w:w="821" w:type="dxa"/>
            <w:tcBorders>
              <w:top w:val="single" w:color="auto" w:sz="8" w:space="0"/>
              <w:left w:val="single" w:color="auto" w:sz="8" w:space="0"/>
              <w:bottom w:val="single" w:color="auto" w:sz="8" w:space="0"/>
              <w:right w:val="single" w:color="auto" w:sz="8" w:space="0"/>
            </w:tcBorders>
            <w:vAlign w:val="center"/>
          </w:tcPr>
          <w:p w14:paraId="6AE8156C">
            <w:pPr>
              <w:adjustRightInd w:val="0"/>
              <w:snapToGrid w:val="0"/>
              <w:jc w:val="center"/>
              <w:rPr>
                <w:rFonts w:hint="eastAsia" w:ascii="Times New Roman" w:hAnsi="Times New Roman" w:eastAsia="仿宋_GB2312"/>
                <w:sz w:val="20"/>
                <w:lang w:val="en-US" w:eastAsia="zh-CN"/>
              </w:rPr>
            </w:pPr>
            <w:r>
              <w:rPr>
                <w:rFonts w:hint="eastAsia" w:ascii="Times New Roman" w:hAnsi="Times New Roman" w:eastAsia="仿宋_GB2312"/>
                <w:sz w:val="20"/>
                <w:lang w:val="en-US" w:eastAsia="zh-CN"/>
              </w:rPr>
              <w:t>&gt;9.8</w:t>
            </w:r>
          </w:p>
        </w:tc>
        <w:tc>
          <w:tcPr>
            <w:tcW w:w="879" w:type="dxa"/>
            <w:tcBorders>
              <w:top w:val="single" w:color="auto" w:sz="8" w:space="0"/>
              <w:left w:val="single" w:color="auto" w:sz="8" w:space="0"/>
              <w:bottom w:val="single" w:color="auto" w:sz="8" w:space="0"/>
              <w:right w:val="single" w:color="auto" w:sz="8" w:space="0"/>
            </w:tcBorders>
            <w:vAlign w:val="center"/>
          </w:tcPr>
          <w:p w14:paraId="7BDB1108">
            <w:pPr>
              <w:jc w:val="center"/>
              <w:rPr>
                <w:rFonts w:ascii="Times New Roman" w:hAnsi="Times New Roman" w:eastAsia="仿宋_GB2312"/>
                <w:sz w:val="20"/>
                <w:szCs w:val="21"/>
              </w:rPr>
            </w:pPr>
            <w:r>
              <w:rPr>
                <w:rFonts w:hint="eastAsia" w:ascii="Times New Roman" w:hAnsi="Times New Roman" w:eastAsia="仿宋_GB2312"/>
                <w:sz w:val="20"/>
                <w:szCs w:val="21"/>
              </w:rPr>
              <w:t>预期性</w:t>
            </w:r>
          </w:p>
        </w:tc>
      </w:tr>
      <w:tr w14:paraId="5AC8ADA6">
        <w:tblPrEx>
          <w:tblCellMar>
            <w:top w:w="0" w:type="dxa"/>
            <w:left w:w="108" w:type="dxa"/>
            <w:bottom w:w="0" w:type="dxa"/>
            <w:right w:w="108" w:type="dxa"/>
          </w:tblCellMar>
        </w:tblPrEx>
        <w:trPr>
          <w:trHeight w:val="454" w:hRule="exact"/>
          <w:jc w:val="center"/>
        </w:trPr>
        <w:tc>
          <w:tcPr>
            <w:tcW w:w="416" w:type="dxa"/>
            <w:vMerge w:val="continue"/>
            <w:tcBorders>
              <w:left w:val="single" w:color="000000" w:sz="8" w:space="0"/>
              <w:right w:val="single" w:color="000000" w:sz="8" w:space="0"/>
            </w:tcBorders>
            <w:vAlign w:val="center"/>
          </w:tcPr>
          <w:p w14:paraId="7929EEE1">
            <w:pPr>
              <w:jc w:val="center"/>
              <w:rPr>
                <w:rFonts w:ascii="黑体" w:hAnsi="黑体" w:eastAsia="黑体" w:cs="黑体"/>
                <w:sz w:val="20"/>
                <w:szCs w:val="21"/>
              </w:rPr>
            </w:pPr>
          </w:p>
        </w:tc>
        <w:tc>
          <w:tcPr>
            <w:tcW w:w="4602" w:type="dxa"/>
            <w:gridSpan w:val="3"/>
            <w:tcBorders>
              <w:top w:val="nil"/>
              <w:left w:val="nil"/>
              <w:bottom w:val="single" w:color="000000" w:sz="8" w:space="0"/>
              <w:right w:val="single" w:color="auto" w:sz="8" w:space="0"/>
            </w:tcBorders>
            <w:vAlign w:val="center"/>
          </w:tcPr>
          <w:p w14:paraId="22D6C410">
            <w:pPr>
              <w:adjustRightInd w:val="0"/>
              <w:snapToGrid w:val="0"/>
              <w:jc w:val="left"/>
              <w:rPr>
                <w:rFonts w:ascii="Times New Roman" w:hAnsi="Times New Roman" w:eastAsia="仿宋_GB2312"/>
                <w:color w:val="000000" w:themeColor="text1"/>
                <w:sz w:val="20"/>
              </w:rPr>
            </w:pPr>
            <w:r>
              <w:rPr>
                <w:rFonts w:hint="eastAsia" w:ascii="Times New Roman" w:hAnsi="Times New Roman" w:eastAsia="仿宋_GB2312"/>
                <w:color w:val="000000" w:themeColor="text1"/>
                <w:sz w:val="20"/>
              </w:rPr>
              <w:t>4.制造业增加值占GDP比重（%）</w:t>
            </w:r>
          </w:p>
        </w:tc>
        <w:tc>
          <w:tcPr>
            <w:tcW w:w="1134" w:type="dxa"/>
            <w:tcBorders>
              <w:top w:val="single" w:color="auto" w:sz="8" w:space="0"/>
              <w:left w:val="single" w:color="auto" w:sz="8" w:space="0"/>
              <w:bottom w:val="single" w:color="auto" w:sz="8" w:space="0"/>
              <w:right w:val="single" w:color="auto" w:sz="8" w:space="0"/>
            </w:tcBorders>
            <w:vAlign w:val="center"/>
          </w:tcPr>
          <w:p w14:paraId="0E270B74">
            <w:pPr>
              <w:adjustRightInd w:val="0"/>
              <w:snapToGrid w:val="0"/>
              <w:jc w:val="center"/>
              <w:rPr>
                <w:rFonts w:hint="default" w:ascii="Times New Roman" w:hAnsi="Times New Roman" w:eastAsia="仿宋_GB2312"/>
                <w:sz w:val="20"/>
                <w:highlight w:val="yellow"/>
                <w:lang w:val="en-US" w:eastAsia="zh-CN"/>
              </w:rPr>
            </w:pPr>
            <w:r>
              <w:rPr>
                <w:rFonts w:hint="eastAsia" w:ascii="Times New Roman" w:hAnsi="Times New Roman" w:eastAsia="仿宋_GB2312"/>
                <w:sz w:val="20"/>
                <w:lang w:val="en-US" w:eastAsia="zh-CN"/>
              </w:rPr>
              <w:t>40</w:t>
            </w:r>
          </w:p>
        </w:tc>
        <w:tc>
          <w:tcPr>
            <w:tcW w:w="1134" w:type="dxa"/>
            <w:tcBorders>
              <w:top w:val="single" w:color="auto" w:sz="8" w:space="0"/>
              <w:left w:val="single" w:color="auto" w:sz="8" w:space="0"/>
              <w:bottom w:val="single" w:color="auto" w:sz="8" w:space="0"/>
              <w:right w:val="single" w:color="auto" w:sz="8" w:space="0"/>
            </w:tcBorders>
            <w:vAlign w:val="center"/>
          </w:tcPr>
          <w:p w14:paraId="4F0F5EAF">
            <w:pPr>
              <w:adjustRightInd w:val="0"/>
              <w:snapToGrid w:val="0"/>
              <w:jc w:val="center"/>
              <w:rPr>
                <w:rFonts w:hint="default" w:ascii="Times New Roman" w:hAnsi="Times New Roman" w:eastAsia="仿宋_GB2312"/>
                <w:sz w:val="20"/>
                <w:lang w:val="en-US" w:eastAsia="zh-CN"/>
              </w:rPr>
            </w:pPr>
            <w:r>
              <w:rPr>
                <w:rFonts w:hint="eastAsia" w:ascii="Times New Roman" w:hAnsi="Times New Roman" w:eastAsia="仿宋_GB2312"/>
                <w:sz w:val="20"/>
                <w:lang w:val="en-US" w:eastAsia="zh-CN"/>
              </w:rPr>
              <w:t>43</w:t>
            </w:r>
          </w:p>
        </w:tc>
        <w:tc>
          <w:tcPr>
            <w:tcW w:w="821" w:type="dxa"/>
            <w:tcBorders>
              <w:top w:val="single" w:color="auto" w:sz="8" w:space="0"/>
              <w:left w:val="single" w:color="auto" w:sz="8" w:space="0"/>
              <w:bottom w:val="single" w:color="auto" w:sz="8" w:space="0"/>
              <w:right w:val="single" w:color="auto" w:sz="8" w:space="0"/>
            </w:tcBorders>
            <w:vAlign w:val="center"/>
          </w:tcPr>
          <w:p w14:paraId="396BF2C8">
            <w:pPr>
              <w:adjustRightInd w:val="0"/>
              <w:snapToGrid w:val="0"/>
              <w:jc w:val="center"/>
              <w:rPr>
                <w:rFonts w:ascii="Times New Roman" w:hAnsi="Times New Roman" w:eastAsia="仿宋_GB2312"/>
                <w:sz w:val="20"/>
              </w:rPr>
            </w:pPr>
            <w:r>
              <w:rPr>
                <w:rFonts w:hint="eastAsia" w:ascii="Times New Roman" w:hAnsi="Times New Roman" w:eastAsia="仿宋_GB2312"/>
                <w:sz w:val="20"/>
              </w:rPr>
              <w:t>—</w:t>
            </w:r>
          </w:p>
        </w:tc>
        <w:tc>
          <w:tcPr>
            <w:tcW w:w="879" w:type="dxa"/>
            <w:tcBorders>
              <w:top w:val="single" w:color="auto" w:sz="8" w:space="0"/>
              <w:left w:val="single" w:color="auto" w:sz="8" w:space="0"/>
              <w:bottom w:val="single" w:color="auto" w:sz="8" w:space="0"/>
              <w:right w:val="single" w:color="auto" w:sz="8" w:space="0"/>
            </w:tcBorders>
            <w:vAlign w:val="center"/>
          </w:tcPr>
          <w:p w14:paraId="568E64B0">
            <w:pPr>
              <w:jc w:val="center"/>
              <w:rPr>
                <w:rFonts w:ascii="Times New Roman" w:hAnsi="Times New Roman" w:eastAsia="仿宋_GB2312"/>
                <w:sz w:val="20"/>
                <w:szCs w:val="21"/>
              </w:rPr>
            </w:pPr>
            <w:r>
              <w:rPr>
                <w:rFonts w:hint="eastAsia" w:ascii="Times New Roman" w:hAnsi="Times New Roman" w:eastAsia="仿宋_GB2312"/>
                <w:sz w:val="20"/>
                <w:szCs w:val="21"/>
              </w:rPr>
              <w:t>预期性</w:t>
            </w:r>
          </w:p>
        </w:tc>
      </w:tr>
      <w:tr w14:paraId="306BFE6B">
        <w:tblPrEx>
          <w:tblCellMar>
            <w:top w:w="0" w:type="dxa"/>
            <w:left w:w="108" w:type="dxa"/>
            <w:bottom w:w="0" w:type="dxa"/>
            <w:right w:w="108" w:type="dxa"/>
          </w:tblCellMar>
        </w:tblPrEx>
        <w:trPr>
          <w:trHeight w:val="454" w:hRule="exact"/>
          <w:jc w:val="center"/>
        </w:trPr>
        <w:tc>
          <w:tcPr>
            <w:tcW w:w="416" w:type="dxa"/>
            <w:vMerge w:val="continue"/>
            <w:tcBorders>
              <w:left w:val="single" w:color="000000" w:sz="8" w:space="0"/>
              <w:right w:val="single" w:color="000000" w:sz="8" w:space="0"/>
            </w:tcBorders>
            <w:vAlign w:val="center"/>
          </w:tcPr>
          <w:p w14:paraId="6F8D1254">
            <w:pPr>
              <w:jc w:val="center"/>
              <w:rPr>
                <w:rFonts w:ascii="黑体" w:hAnsi="黑体" w:eastAsia="黑体" w:cs="黑体"/>
                <w:sz w:val="20"/>
                <w:szCs w:val="21"/>
              </w:rPr>
            </w:pPr>
          </w:p>
        </w:tc>
        <w:tc>
          <w:tcPr>
            <w:tcW w:w="4602" w:type="dxa"/>
            <w:gridSpan w:val="3"/>
            <w:tcBorders>
              <w:top w:val="nil"/>
              <w:left w:val="nil"/>
              <w:bottom w:val="single" w:color="000000" w:sz="8" w:space="0"/>
              <w:right w:val="single" w:color="auto" w:sz="8" w:space="0"/>
            </w:tcBorders>
            <w:vAlign w:val="center"/>
          </w:tcPr>
          <w:p w14:paraId="44DE49BB">
            <w:pPr>
              <w:adjustRightInd w:val="0"/>
              <w:snapToGrid w:val="0"/>
              <w:jc w:val="left"/>
              <w:rPr>
                <w:rFonts w:ascii="Times New Roman" w:hAnsi="Times New Roman" w:eastAsia="仿宋_GB2312"/>
                <w:color w:val="000000" w:themeColor="text1"/>
                <w:sz w:val="20"/>
              </w:rPr>
            </w:pPr>
            <w:r>
              <w:rPr>
                <w:rFonts w:hint="eastAsia" w:ascii="Times New Roman" w:hAnsi="Times New Roman" w:eastAsia="仿宋_GB2312"/>
                <w:color w:val="000000" w:themeColor="text1"/>
                <w:sz w:val="20"/>
                <w:szCs w:val="21"/>
              </w:rPr>
              <w:t>5.常住人口城镇化率（%）</w:t>
            </w:r>
          </w:p>
        </w:tc>
        <w:tc>
          <w:tcPr>
            <w:tcW w:w="1134" w:type="dxa"/>
            <w:tcBorders>
              <w:top w:val="single" w:color="auto" w:sz="8" w:space="0"/>
              <w:left w:val="single" w:color="auto" w:sz="8" w:space="0"/>
              <w:bottom w:val="single" w:color="auto" w:sz="8" w:space="0"/>
              <w:right w:val="single" w:color="auto" w:sz="8" w:space="0"/>
            </w:tcBorders>
            <w:vAlign w:val="center"/>
          </w:tcPr>
          <w:p w14:paraId="7BC3780A">
            <w:pPr>
              <w:adjustRightInd w:val="0"/>
              <w:snapToGrid w:val="0"/>
              <w:jc w:val="center"/>
              <w:rPr>
                <w:rFonts w:ascii="Times New Roman" w:hAnsi="Times New Roman" w:eastAsia="仿宋_GB2312"/>
                <w:sz w:val="20"/>
              </w:rPr>
            </w:pPr>
            <w:r>
              <w:rPr>
                <w:rFonts w:hint="eastAsia" w:ascii="Times New Roman" w:hAnsi="Times New Roman" w:eastAsia="仿宋_GB2312"/>
                <w:sz w:val="20"/>
              </w:rPr>
              <w:t>54</w:t>
            </w:r>
          </w:p>
        </w:tc>
        <w:tc>
          <w:tcPr>
            <w:tcW w:w="1134" w:type="dxa"/>
            <w:tcBorders>
              <w:top w:val="single" w:color="auto" w:sz="8" w:space="0"/>
              <w:left w:val="single" w:color="auto" w:sz="8" w:space="0"/>
              <w:bottom w:val="single" w:color="auto" w:sz="8" w:space="0"/>
              <w:right w:val="single" w:color="auto" w:sz="8" w:space="0"/>
            </w:tcBorders>
            <w:vAlign w:val="center"/>
          </w:tcPr>
          <w:p w14:paraId="0C32EDC3">
            <w:pPr>
              <w:adjustRightInd w:val="0"/>
              <w:snapToGrid w:val="0"/>
              <w:jc w:val="center"/>
              <w:rPr>
                <w:rFonts w:ascii="Times New Roman" w:hAnsi="Times New Roman" w:eastAsia="仿宋_GB2312"/>
                <w:sz w:val="20"/>
              </w:rPr>
            </w:pPr>
            <w:r>
              <w:rPr>
                <w:rFonts w:hint="eastAsia" w:ascii="Times New Roman" w:hAnsi="Times New Roman" w:eastAsia="仿宋_GB2312"/>
                <w:sz w:val="20"/>
              </w:rPr>
              <w:t>60</w:t>
            </w:r>
          </w:p>
        </w:tc>
        <w:tc>
          <w:tcPr>
            <w:tcW w:w="821" w:type="dxa"/>
            <w:tcBorders>
              <w:top w:val="single" w:color="auto" w:sz="8" w:space="0"/>
              <w:left w:val="single" w:color="auto" w:sz="8" w:space="0"/>
              <w:bottom w:val="single" w:color="auto" w:sz="8" w:space="0"/>
              <w:right w:val="single" w:color="auto" w:sz="8" w:space="0"/>
            </w:tcBorders>
            <w:vAlign w:val="center"/>
          </w:tcPr>
          <w:p w14:paraId="735426C2">
            <w:pPr>
              <w:adjustRightInd w:val="0"/>
              <w:snapToGrid w:val="0"/>
              <w:jc w:val="center"/>
              <w:rPr>
                <w:rFonts w:ascii="Times New Roman" w:hAnsi="Times New Roman" w:eastAsia="仿宋_GB2312"/>
                <w:sz w:val="20"/>
                <w:szCs w:val="22"/>
              </w:rPr>
            </w:pPr>
            <w:r>
              <w:rPr>
                <w:rFonts w:hint="eastAsia" w:ascii="Times New Roman" w:hAnsi="Times New Roman" w:eastAsia="仿宋_GB2312"/>
                <w:sz w:val="20"/>
              </w:rPr>
              <w:t>—</w:t>
            </w:r>
          </w:p>
        </w:tc>
        <w:tc>
          <w:tcPr>
            <w:tcW w:w="879" w:type="dxa"/>
            <w:tcBorders>
              <w:top w:val="single" w:color="auto" w:sz="8" w:space="0"/>
              <w:left w:val="single" w:color="auto" w:sz="8" w:space="0"/>
              <w:bottom w:val="single" w:color="auto" w:sz="8" w:space="0"/>
              <w:right w:val="single" w:color="auto" w:sz="8" w:space="0"/>
            </w:tcBorders>
            <w:vAlign w:val="center"/>
          </w:tcPr>
          <w:p w14:paraId="6B8C139E">
            <w:pPr>
              <w:jc w:val="center"/>
              <w:rPr>
                <w:rFonts w:ascii="Times New Roman" w:hAnsi="Times New Roman" w:eastAsia="仿宋_GB2312"/>
                <w:sz w:val="20"/>
                <w:szCs w:val="21"/>
              </w:rPr>
            </w:pPr>
            <w:r>
              <w:rPr>
                <w:rFonts w:hint="eastAsia" w:ascii="Times New Roman" w:hAnsi="Times New Roman" w:eastAsia="仿宋_GB2312"/>
                <w:sz w:val="20"/>
                <w:szCs w:val="21"/>
              </w:rPr>
              <w:t>预期性</w:t>
            </w:r>
          </w:p>
        </w:tc>
      </w:tr>
      <w:tr w14:paraId="230BE339">
        <w:tblPrEx>
          <w:tblCellMar>
            <w:top w:w="0" w:type="dxa"/>
            <w:left w:w="108" w:type="dxa"/>
            <w:bottom w:w="0" w:type="dxa"/>
            <w:right w:w="108" w:type="dxa"/>
          </w:tblCellMar>
        </w:tblPrEx>
        <w:trPr>
          <w:trHeight w:val="529" w:hRule="exact"/>
          <w:jc w:val="center"/>
        </w:trPr>
        <w:tc>
          <w:tcPr>
            <w:tcW w:w="416" w:type="dxa"/>
            <w:vMerge w:val="continue"/>
            <w:tcBorders>
              <w:left w:val="single" w:color="000000" w:sz="8" w:space="0"/>
              <w:right w:val="single" w:color="000000" w:sz="8" w:space="0"/>
            </w:tcBorders>
            <w:vAlign w:val="center"/>
          </w:tcPr>
          <w:p w14:paraId="5AC2E0F7">
            <w:pPr>
              <w:jc w:val="center"/>
              <w:rPr>
                <w:rFonts w:ascii="黑体" w:hAnsi="黑体" w:eastAsia="黑体" w:cs="黑体"/>
                <w:sz w:val="20"/>
                <w:szCs w:val="21"/>
              </w:rPr>
            </w:pPr>
          </w:p>
        </w:tc>
        <w:tc>
          <w:tcPr>
            <w:tcW w:w="4602" w:type="dxa"/>
            <w:gridSpan w:val="3"/>
            <w:tcBorders>
              <w:top w:val="nil"/>
              <w:left w:val="nil"/>
              <w:bottom w:val="single" w:color="000000" w:sz="8" w:space="0"/>
              <w:right w:val="single" w:color="auto" w:sz="8" w:space="0"/>
            </w:tcBorders>
            <w:vAlign w:val="center"/>
          </w:tcPr>
          <w:p w14:paraId="0D8BC24A">
            <w:pPr>
              <w:adjustRightInd w:val="0"/>
              <w:snapToGrid w:val="0"/>
              <w:jc w:val="left"/>
              <w:rPr>
                <w:rFonts w:ascii="Times New Roman" w:hAnsi="Times New Roman" w:eastAsia="仿宋_GB2312"/>
                <w:color w:val="000000" w:themeColor="text1"/>
                <w:sz w:val="20"/>
              </w:rPr>
            </w:pPr>
            <w:r>
              <w:rPr>
                <w:rFonts w:hint="eastAsia" w:ascii="Times New Roman" w:hAnsi="Times New Roman" w:eastAsia="仿宋_GB2312"/>
                <w:color w:val="000000" w:themeColor="text1"/>
                <w:sz w:val="20"/>
              </w:rPr>
              <w:t>6.</w:t>
            </w:r>
            <w:r>
              <w:rPr>
                <w:rFonts w:ascii="Times New Roman" w:hAnsi="Times New Roman" w:eastAsia="仿宋_GB2312"/>
                <w:color w:val="000000" w:themeColor="text1"/>
                <w:sz w:val="20"/>
              </w:rPr>
              <w:t>固定资产投资增</w:t>
            </w:r>
            <w:r>
              <w:rPr>
                <w:rFonts w:hint="eastAsia" w:ascii="Times New Roman" w:hAnsi="Times New Roman" w:eastAsia="仿宋_GB2312"/>
                <w:color w:val="000000" w:themeColor="text1"/>
                <w:sz w:val="20"/>
              </w:rPr>
              <w:t>长（%）</w:t>
            </w:r>
          </w:p>
        </w:tc>
        <w:tc>
          <w:tcPr>
            <w:tcW w:w="1134" w:type="dxa"/>
            <w:tcBorders>
              <w:top w:val="single" w:color="auto" w:sz="8" w:space="0"/>
              <w:left w:val="single" w:color="auto" w:sz="8" w:space="0"/>
              <w:bottom w:val="single" w:color="auto" w:sz="8" w:space="0"/>
              <w:right w:val="single" w:color="auto" w:sz="8" w:space="0"/>
            </w:tcBorders>
            <w:vAlign w:val="center"/>
          </w:tcPr>
          <w:p w14:paraId="4C183AC0">
            <w:pPr>
              <w:adjustRightInd w:val="0"/>
              <w:snapToGrid w:val="0"/>
              <w:jc w:val="center"/>
              <w:rPr>
                <w:rFonts w:hint="default" w:ascii="Times New Roman" w:hAnsi="Times New Roman" w:eastAsia="仿宋_GB2312"/>
                <w:sz w:val="20"/>
                <w:lang w:val="en-US" w:eastAsia="zh-CN"/>
              </w:rPr>
            </w:pPr>
            <w:r>
              <w:rPr>
                <w:rFonts w:hint="eastAsia" w:ascii="Times New Roman" w:hAnsi="Times New Roman" w:eastAsia="仿宋_GB2312"/>
                <w:color w:val="000000" w:themeColor="text1"/>
                <w:sz w:val="20"/>
                <w:lang w:val="en-US" w:eastAsia="zh-CN"/>
              </w:rPr>
              <w:t>12.1</w:t>
            </w:r>
          </w:p>
        </w:tc>
        <w:tc>
          <w:tcPr>
            <w:tcW w:w="1134" w:type="dxa"/>
            <w:tcBorders>
              <w:top w:val="single" w:color="auto" w:sz="8" w:space="0"/>
              <w:left w:val="single" w:color="auto" w:sz="8" w:space="0"/>
              <w:bottom w:val="single" w:color="auto" w:sz="8" w:space="0"/>
              <w:right w:val="single" w:color="auto" w:sz="8" w:space="0"/>
            </w:tcBorders>
            <w:vAlign w:val="center"/>
          </w:tcPr>
          <w:p w14:paraId="4313C057">
            <w:pPr>
              <w:adjustRightInd w:val="0"/>
              <w:snapToGrid w:val="0"/>
              <w:jc w:val="center"/>
              <w:rPr>
                <w:rFonts w:ascii="Times New Roman" w:hAnsi="Times New Roman" w:eastAsia="仿宋_GB2312"/>
                <w:sz w:val="20"/>
              </w:rPr>
            </w:pPr>
            <w:r>
              <w:rPr>
                <w:rFonts w:hint="eastAsia" w:ascii="Times New Roman" w:hAnsi="Times New Roman" w:eastAsia="仿宋_GB2312"/>
                <w:sz w:val="20"/>
              </w:rPr>
              <w:t>—</w:t>
            </w:r>
          </w:p>
        </w:tc>
        <w:tc>
          <w:tcPr>
            <w:tcW w:w="821" w:type="dxa"/>
            <w:tcBorders>
              <w:top w:val="single" w:color="auto" w:sz="8" w:space="0"/>
              <w:left w:val="single" w:color="auto" w:sz="8" w:space="0"/>
              <w:bottom w:val="single" w:color="auto" w:sz="8" w:space="0"/>
              <w:right w:val="single" w:color="auto" w:sz="8" w:space="0"/>
            </w:tcBorders>
            <w:vAlign w:val="center"/>
          </w:tcPr>
          <w:p w14:paraId="4C1ECFAE">
            <w:pPr>
              <w:adjustRightInd w:val="0"/>
              <w:snapToGrid w:val="0"/>
              <w:jc w:val="center"/>
              <w:rPr>
                <w:rFonts w:hint="default" w:ascii="Times New Roman" w:hAnsi="Times New Roman" w:eastAsia="仿宋_GB2312"/>
                <w:sz w:val="20"/>
                <w:lang w:val="en-US" w:eastAsia="zh-CN"/>
              </w:rPr>
            </w:pPr>
            <w:r>
              <w:rPr>
                <w:rFonts w:hint="eastAsia" w:ascii="Times New Roman" w:hAnsi="Times New Roman" w:eastAsia="仿宋_GB2312"/>
                <w:sz w:val="20"/>
                <w:lang w:val="en-US" w:eastAsia="zh-CN"/>
              </w:rPr>
              <w:t>11</w:t>
            </w:r>
          </w:p>
        </w:tc>
        <w:tc>
          <w:tcPr>
            <w:tcW w:w="879" w:type="dxa"/>
            <w:tcBorders>
              <w:top w:val="single" w:color="auto" w:sz="8" w:space="0"/>
              <w:left w:val="single" w:color="auto" w:sz="8" w:space="0"/>
              <w:bottom w:val="single" w:color="auto" w:sz="8" w:space="0"/>
              <w:right w:val="single" w:color="auto" w:sz="8" w:space="0"/>
            </w:tcBorders>
            <w:vAlign w:val="center"/>
          </w:tcPr>
          <w:p w14:paraId="1D0A4563">
            <w:pPr>
              <w:jc w:val="center"/>
              <w:rPr>
                <w:rFonts w:ascii="Times New Roman" w:hAnsi="Times New Roman" w:eastAsia="仿宋_GB2312"/>
                <w:sz w:val="20"/>
                <w:szCs w:val="21"/>
              </w:rPr>
            </w:pPr>
            <w:r>
              <w:rPr>
                <w:rFonts w:hint="eastAsia" w:ascii="Times New Roman" w:hAnsi="Times New Roman" w:eastAsia="仿宋_GB2312"/>
                <w:sz w:val="20"/>
                <w:szCs w:val="21"/>
              </w:rPr>
              <w:t>预期性</w:t>
            </w:r>
          </w:p>
        </w:tc>
      </w:tr>
      <w:tr w14:paraId="334C452C">
        <w:tblPrEx>
          <w:tblCellMar>
            <w:top w:w="0" w:type="dxa"/>
            <w:left w:w="108" w:type="dxa"/>
            <w:bottom w:w="0" w:type="dxa"/>
            <w:right w:w="108" w:type="dxa"/>
          </w:tblCellMar>
        </w:tblPrEx>
        <w:trPr>
          <w:trHeight w:val="454" w:hRule="exact"/>
          <w:jc w:val="center"/>
        </w:trPr>
        <w:tc>
          <w:tcPr>
            <w:tcW w:w="416" w:type="dxa"/>
            <w:vMerge w:val="continue"/>
            <w:tcBorders>
              <w:left w:val="single" w:color="000000" w:sz="8" w:space="0"/>
              <w:right w:val="single" w:color="000000" w:sz="8" w:space="0"/>
            </w:tcBorders>
            <w:vAlign w:val="center"/>
          </w:tcPr>
          <w:p w14:paraId="3A9D0912">
            <w:pPr>
              <w:jc w:val="center"/>
              <w:rPr>
                <w:rFonts w:ascii="黑体" w:hAnsi="黑体" w:eastAsia="黑体" w:cs="黑体"/>
                <w:sz w:val="20"/>
                <w:szCs w:val="21"/>
              </w:rPr>
            </w:pPr>
          </w:p>
        </w:tc>
        <w:tc>
          <w:tcPr>
            <w:tcW w:w="4602" w:type="dxa"/>
            <w:gridSpan w:val="3"/>
            <w:tcBorders>
              <w:top w:val="nil"/>
              <w:left w:val="nil"/>
              <w:bottom w:val="single" w:color="000000" w:sz="8" w:space="0"/>
              <w:right w:val="single" w:color="auto" w:sz="8" w:space="0"/>
            </w:tcBorders>
            <w:vAlign w:val="center"/>
          </w:tcPr>
          <w:p w14:paraId="1EEA2DB3">
            <w:pPr>
              <w:adjustRightInd w:val="0"/>
              <w:snapToGrid w:val="0"/>
              <w:jc w:val="left"/>
              <w:rPr>
                <w:rFonts w:ascii="Times New Roman" w:hAnsi="Times New Roman" w:eastAsia="仿宋_GB2312"/>
                <w:color w:val="000000" w:themeColor="text1"/>
                <w:sz w:val="20"/>
              </w:rPr>
            </w:pPr>
            <w:r>
              <w:rPr>
                <w:rFonts w:hint="eastAsia" w:ascii="Times New Roman" w:hAnsi="Times New Roman" w:eastAsia="仿宋_GB2312"/>
                <w:color w:val="000000" w:themeColor="text1"/>
                <w:sz w:val="20"/>
              </w:rPr>
              <w:t>7.进出口总额（亿美元）</w:t>
            </w:r>
          </w:p>
        </w:tc>
        <w:tc>
          <w:tcPr>
            <w:tcW w:w="1134" w:type="dxa"/>
            <w:tcBorders>
              <w:top w:val="single" w:color="auto" w:sz="8" w:space="0"/>
              <w:left w:val="single" w:color="auto" w:sz="8" w:space="0"/>
              <w:bottom w:val="single" w:color="auto" w:sz="8" w:space="0"/>
              <w:right w:val="single" w:color="auto" w:sz="8" w:space="0"/>
            </w:tcBorders>
            <w:vAlign w:val="center"/>
          </w:tcPr>
          <w:p w14:paraId="75D61FF4">
            <w:pPr>
              <w:adjustRightInd w:val="0"/>
              <w:snapToGrid w:val="0"/>
              <w:jc w:val="center"/>
              <w:rPr>
                <w:rFonts w:ascii="Times New Roman" w:hAnsi="Times New Roman" w:eastAsia="仿宋_GB2312"/>
                <w:sz w:val="20"/>
              </w:rPr>
            </w:pPr>
            <w:r>
              <w:rPr>
                <w:rFonts w:hint="eastAsia" w:ascii="Times New Roman" w:hAnsi="Times New Roman" w:eastAsia="仿宋_GB2312"/>
                <w:sz w:val="20"/>
              </w:rPr>
              <w:t>2.04</w:t>
            </w:r>
          </w:p>
        </w:tc>
        <w:tc>
          <w:tcPr>
            <w:tcW w:w="1134" w:type="dxa"/>
            <w:tcBorders>
              <w:top w:val="single" w:color="auto" w:sz="8" w:space="0"/>
              <w:left w:val="single" w:color="auto" w:sz="8" w:space="0"/>
              <w:bottom w:val="single" w:color="auto" w:sz="8" w:space="0"/>
              <w:right w:val="single" w:color="auto" w:sz="8" w:space="0"/>
            </w:tcBorders>
            <w:vAlign w:val="center"/>
          </w:tcPr>
          <w:p w14:paraId="54955236">
            <w:pPr>
              <w:adjustRightInd w:val="0"/>
              <w:snapToGrid w:val="0"/>
              <w:jc w:val="center"/>
              <w:rPr>
                <w:rFonts w:ascii="Times New Roman" w:hAnsi="Times New Roman" w:eastAsia="仿宋_GB2312"/>
                <w:sz w:val="20"/>
              </w:rPr>
            </w:pPr>
            <w:r>
              <w:rPr>
                <w:rFonts w:hint="eastAsia" w:ascii="Times New Roman" w:hAnsi="Times New Roman" w:eastAsia="仿宋_GB2312"/>
                <w:sz w:val="20"/>
              </w:rPr>
              <w:t>4</w:t>
            </w:r>
          </w:p>
        </w:tc>
        <w:tc>
          <w:tcPr>
            <w:tcW w:w="821" w:type="dxa"/>
            <w:tcBorders>
              <w:top w:val="single" w:color="auto" w:sz="8" w:space="0"/>
              <w:left w:val="single" w:color="auto" w:sz="8" w:space="0"/>
              <w:bottom w:val="single" w:color="auto" w:sz="8" w:space="0"/>
              <w:right w:val="single" w:color="auto" w:sz="8" w:space="0"/>
            </w:tcBorders>
            <w:vAlign w:val="center"/>
          </w:tcPr>
          <w:p w14:paraId="1C8B3412">
            <w:pPr>
              <w:adjustRightInd w:val="0"/>
              <w:snapToGrid w:val="0"/>
              <w:jc w:val="center"/>
              <w:rPr>
                <w:rFonts w:hint="default" w:ascii="Times New Roman" w:hAnsi="Times New Roman" w:eastAsia="仿宋_GB2312"/>
                <w:sz w:val="20"/>
                <w:lang w:val="en-US" w:eastAsia="zh-CN"/>
              </w:rPr>
            </w:pPr>
            <w:r>
              <w:rPr>
                <w:rFonts w:hint="eastAsia" w:ascii="Times New Roman" w:hAnsi="Times New Roman" w:eastAsia="仿宋_GB2312"/>
                <w:sz w:val="20"/>
              </w:rPr>
              <w:t>1</w:t>
            </w:r>
            <w:r>
              <w:rPr>
                <w:rFonts w:hint="eastAsia" w:ascii="Times New Roman" w:hAnsi="Times New Roman" w:eastAsia="仿宋_GB2312"/>
                <w:sz w:val="20"/>
                <w:lang w:val="en-US" w:eastAsia="zh-CN"/>
              </w:rPr>
              <w:t>4.5</w:t>
            </w:r>
          </w:p>
        </w:tc>
        <w:tc>
          <w:tcPr>
            <w:tcW w:w="879" w:type="dxa"/>
            <w:tcBorders>
              <w:top w:val="single" w:color="auto" w:sz="8" w:space="0"/>
              <w:left w:val="single" w:color="auto" w:sz="8" w:space="0"/>
              <w:bottom w:val="single" w:color="auto" w:sz="8" w:space="0"/>
              <w:right w:val="single" w:color="auto" w:sz="8" w:space="0"/>
            </w:tcBorders>
            <w:vAlign w:val="center"/>
          </w:tcPr>
          <w:p w14:paraId="13528898">
            <w:pPr>
              <w:jc w:val="center"/>
              <w:rPr>
                <w:rFonts w:ascii="Times New Roman" w:hAnsi="Times New Roman" w:eastAsia="仿宋_GB2312"/>
                <w:sz w:val="20"/>
                <w:szCs w:val="21"/>
              </w:rPr>
            </w:pPr>
            <w:r>
              <w:rPr>
                <w:rFonts w:hint="eastAsia" w:ascii="Times New Roman" w:hAnsi="Times New Roman" w:eastAsia="仿宋_GB2312"/>
                <w:sz w:val="20"/>
                <w:szCs w:val="21"/>
              </w:rPr>
              <w:t>预期性</w:t>
            </w:r>
          </w:p>
        </w:tc>
      </w:tr>
      <w:tr w14:paraId="2D6FAAA4">
        <w:tblPrEx>
          <w:tblCellMar>
            <w:top w:w="0" w:type="dxa"/>
            <w:left w:w="108" w:type="dxa"/>
            <w:bottom w:w="0" w:type="dxa"/>
            <w:right w:w="108" w:type="dxa"/>
          </w:tblCellMar>
        </w:tblPrEx>
        <w:trPr>
          <w:trHeight w:val="454" w:hRule="exact"/>
          <w:jc w:val="center"/>
        </w:trPr>
        <w:tc>
          <w:tcPr>
            <w:tcW w:w="416" w:type="dxa"/>
            <w:vMerge w:val="continue"/>
            <w:tcBorders>
              <w:left w:val="single" w:color="000000" w:sz="8" w:space="0"/>
              <w:right w:val="single" w:color="000000" w:sz="8" w:space="0"/>
            </w:tcBorders>
            <w:vAlign w:val="center"/>
          </w:tcPr>
          <w:p w14:paraId="73A55B0D">
            <w:pPr>
              <w:jc w:val="center"/>
              <w:rPr>
                <w:rFonts w:ascii="黑体" w:hAnsi="黑体" w:eastAsia="黑体" w:cs="黑体"/>
                <w:sz w:val="20"/>
                <w:szCs w:val="21"/>
              </w:rPr>
            </w:pPr>
          </w:p>
        </w:tc>
        <w:tc>
          <w:tcPr>
            <w:tcW w:w="4602" w:type="dxa"/>
            <w:gridSpan w:val="3"/>
            <w:tcBorders>
              <w:top w:val="nil"/>
              <w:left w:val="nil"/>
              <w:bottom w:val="single" w:color="000000" w:sz="8" w:space="0"/>
              <w:right w:val="single" w:color="auto" w:sz="8" w:space="0"/>
            </w:tcBorders>
            <w:vAlign w:val="center"/>
          </w:tcPr>
          <w:p w14:paraId="5CB21D0D">
            <w:pPr>
              <w:adjustRightInd w:val="0"/>
              <w:snapToGrid w:val="0"/>
              <w:jc w:val="left"/>
              <w:rPr>
                <w:rFonts w:ascii="Times New Roman" w:hAnsi="Times New Roman" w:eastAsia="仿宋_GB2312"/>
                <w:sz w:val="20"/>
              </w:rPr>
            </w:pPr>
            <w:r>
              <w:rPr>
                <w:rFonts w:hint="eastAsia" w:ascii="Times New Roman" w:hAnsi="Times New Roman" w:eastAsia="仿宋_GB2312"/>
                <w:sz w:val="20"/>
              </w:rPr>
              <w:t>8.</w:t>
            </w:r>
            <w:r>
              <w:rPr>
                <w:rFonts w:ascii="Times New Roman" w:hAnsi="Times New Roman" w:eastAsia="仿宋_GB2312"/>
                <w:sz w:val="20"/>
              </w:rPr>
              <w:t>社会消费品零售总额</w:t>
            </w:r>
            <w:r>
              <w:rPr>
                <w:rFonts w:hint="eastAsia" w:ascii="Times New Roman" w:hAnsi="Times New Roman" w:eastAsia="仿宋_GB2312"/>
                <w:sz w:val="20"/>
              </w:rPr>
              <w:t>（亿元）</w:t>
            </w:r>
          </w:p>
        </w:tc>
        <w:tc>
          <w:tcPr>
            <w:tcW w:w="1134" w:type="dxa"/>
            <w:tcBorders>
              <w:top w:val="single" w:color="auto" w:sz="8" w:space="0"/>
              <w:left w:val="single" w:color="auto" w:sz="8" w:space="0"/>
              <w:bottom w:val="single" w:color="auto" w:sz="8" w:space="0"/>
              <w:right w:val="single" w:color="auto" w:sz="8" w:space="0"/>
            </w:tcBorders>
            <w:vAlign w:val="center"/>
          </w:tcPr>
          <w:p w14:paraId="22C973BE">
            <w:pPr>
              <w:adjustRightInd w:val="0"/>
              <w:snapToGrid w:val="0"/>
              <w:jc w:val="center"/>
              <w:rPr>
                <w:rFonts w:hint="default" w:ascii="Times New Roman" w:hAnsi="Times New Roman" w:eastAsia="仿宋_GB2312"/>
                <w:sz w:val="20"/>
                <w:szCs w:val="21"/>
                <w:lang w:val="en-US" w:eastAsia="zh-CN"/>
              </w:rPr>
            </w:pPr>
            <w:r>
              <w:rPr>
                <w:rFonts w:hint="eastAsia" w:ascii="Times New Roman" w:hAnsi="Times New Roman" w:eastAsia="仿宋_GB2312"/>
                <w:sz w:val="20"/>
                <w:szCs w:val="21"/>
                <w:lang w:val="en-US" w:eastAsia="zh-CN"/>
              </w:rPr>
              <w:t>132.3</w:t>
            </w:r>
          </w:p>
        </w:tc>
        <w:tc>
          <w:tcPr>
            <w:tcW w:w="1134" w:type="dxa"/>
            <w:tcBorders>
              <w:top w:val="single" w:color="auto" w:sz="8" w:space="0"/>
              <w:left w:val="single" w:color="auto" w:sz="8" w:space="0"/>
              <w:bottom w:val="single" w:color="auto" w:sz="8" w:space="0"/>
              <w:right w:val="single" w:color="auto" w:sz="8" w:space="0"/>
            </w:tcBorders>
            <w:vAlign w:val="center"/>
          </w:tcPr>
          <w:p w14:paraId="38A467C7">
            <w:pPr>
              <w:adjustRightInd w:val="0"/>
              <w:snapToGrid w:val="0"/>
              <w:jc w:val="center"/>
              <w:rPr>
                <w:rFonts w:hint="default" w:ascii="Times New Roman" w:hAnsi="Times New Roman" w:eastAsia="仿宋_GB2312"/>
                <w:sz w:val="20"/>
                <w:szCs w:val="21"/>
                <w:lang w:val="en-US" w:eastAsia="zh-CN"/>
              </w:rPr>
            </w:pPr>
            <w:r>
              <w:rPr>
                <w:rFonts w:hint="eastAsia" w:ascii="Times New Roman" w:hAnsi="Times New Roman" w:eastAsia="仿宋_GB2312"/>
                <w:sz w:val="20"/>
                <w:szCs w:val="21"/>
                <w:lang w:val="en-US" w:eastAsia="zh-CN"/>
              </w:rPr>
              <w:t>200</w:t>
            </w:r>
          </w:p>
        </w:tc>
        <w:tc>
          <w:tcPr>
            <w:tcW w:w="821" w:type="dxa"/>
            <w:tcBorders>
              <w:top w:val="single" w:color="auto" w:sz="8" w:space="0"/>
              <w:left w:val="single" w:color="auto" w:sz="8" w:space="0"/>
              <w:bottom w:val="single" w:color="auto" w:sz="8" w:space="0"/>
              <w:right w:val="single" w:color="auto" w:sz="8" w:space="0"/>
            </w:tcBorders>
            <w:vAlign w:val="center"/>
          </w:tcPr>
          <w:p w14:paraId="1E121D1A">
            <w:pPr>
              <w:adjustRightInd w:val="0"/>
              <w:snapToGrid w:val="0"/>
              <w:jc w:val="center"/>
            </w:pPr>
            <w:r>
              <w:rPr>
                <w:rFonts w:hint="eastAsia" w:ascii="Times New Roman" w:hAnsi="Times New Roman" w:eastAsia="仿宋_GB2312"/>
                <w:sz w:val="20"/>
              </w:rPr>
              <w:t>&gt;10</w:t>
            </w:r>
          </w:p>
        </w:tc>
        <w:tc>
          <w:tcPr>
            <w:tcW w:w="879" w:type="dxa"/>
            <w:tcBorders>
              <w:top w:val="single" w:color="auto" w:sz="8" w:space="0"/>
              <w:left w:val="single" w:color="auto" w:sz="8" w:space="0"/>
              <w:bottom w:val="single" w:color="auto" w:sz="8" w:space="0"/>
              <w:right w:val="single" w:color="auto" w:sz="8" w:space="0"/>
            </w:tcBorders>
            <w:vAlign w:val="center"/>
          </w:tcPr>
          <w:p w14:paraId="12EF9C7B">
            <w:pPr>
              <w:jc w:val="center"/>
              <w:rPr>
                <w:rFonts w:ascii="Times New Roman" w:hAnsi="Times New Roman" w:eastAsia="仿宋_GB2312"/>
                <w:sz w:val="20"/>
                <w:szCs w:val="21"/>
              </w:rPr>
            </w:pPr>
            <w:r>
              <w:rPr>
                <w:rFonts w:hint="eastAsia" w:ascii="Times New Roman" w:hAnsi="Times New Roman" w:eastAsia="仿宋_GB2312"/>
                <w:sz w:val="20"/>
                <w:szCs w:val="21"/>
              </w:rPr>
              <w:t>预期性</w:t>
            </w:r>
          </w:p>
        </w:tc>
      </w:tr>
      <w:tr w14:paraId="2249855E">
        <w:tblPrEx>
          <w:tblCellMar>
            <w:top w:w="0" w:type="dxa"/>
            <w:left w:w="108" w:type="dxa"/>
            <w:bottom w:w="0" w:type="dxa"/>
            <w:right w:w="108" w:type="dxa"/>
          </w:tblCellMar>
        </w:tblPrEx>
        <w:trPr>
          <w:trHeight w:val="454" w:hRule="exact"/>
          <w:jc w:val="center"/>
        </w:trPr>
        <w:tc>
          <w:tcPr>
            <w:tcW w:w="416" w:type="dxa"/>
            <w:vMerge w:val="continue"/>
            <w:tcBorders>
              <w:left w:val="single" w:color="000000" w:sz="8" w:space="0"/>
              <w:bottom w:val="single" w:color="000000" w:sz="8" w:space="0"/>
              <w:right w:val="single" w:color="000000" w:sz="8" w:space="0"/>
            </w:tcBorders>
            <w:vAlign w:val="center"/>
          </w:tcPr>
          <w:p w14:paraId="09BC9FC7">
            <w:pPr>
              <w:jc w:val="center"/>
              <w:rPr>
                <w:rFonts w:ascii="黑体" w:hAnsi="黑体" w:eastAsia="黑体" w:cs="黑体"/>
                <w:sz w:val="20"/>
                <w:szCs w:val="21"/>
              </w:rPr>
            </w:pPr>
          </w:p>
        </w:tc>
        <w:tc>
          <w:tcPr>
            <w:tcW w:w="4602" w:type="dxa"/>
            <w:gridSpan w:val="3"/>
            <w:tcBorders>
              <w:top w:val="nil"/>
              <w:left w:val="nil"/>
              <w:bottom w:val="single" w:color="000000" w:sz="8" w:space="0"/>
              <w:right w:val="single" w:color="auto" w:sz="8" w:space="0"/>
            </w:tcBorders>
            <w:vAlign w:val="center"/>
          </w:tcPr>
          <w:p w14:paraId="0348B27D">
            <w:pPr>
              <w:adjustRightInd w:val="0"/>
              <w:snapToGrid w:val="0"/>
              <w:jc w:val="left"/>
              <w:rPr>
                <w:rFonts w:ascii="Times New Roman" w:hAnsi="Times New Roman" w:eastAsia="仿宋_GB2312"/>
                <w:sz w:val="20"/>
              </w:rPr>
            </w:pPr>
            <w:r>
              <w:rPr>
                <w:rFonts w:hint="eastAsia" w:ascii="Times New Roman" w:hAnsi="Times New Roman" w:eastAsia="仿宋_GB2312"/>
                <w:sz w:val="20"/>
              </w:rPr>
              <w:t>9.</w:t>
            </w:r>
            <w:r>
              <w:rPr>
                <w:rFonts w:ascii="Times New Roman" w:hAnsi="Times New Roman" w:eastAsia="仿宋_GB2312"/>
                <w:sz w:val="20"/>
              </w:rPr>
              <w:t>财政收入</w:t>
            </w:r>
            <w:r>
              <w:rPr>
                <w:rFonts w:hint="eastAsia" w:ascii="Times New Roman" w:hAnsi="Times New Roman" w:eastAsia="仿宋_GB2312"/>
                <w:sz w:val="20"/>
              </w:rPr>
              <w:t>（亿元）</w:t>
            </w:r>
          </w:p>
        </w:tc>
        <w:tc>
          <w:tcPr>
            <w:tcW w:w="1134" w:type="dxa"/>
            <w:tcBorders>
              <w:top w:val="single" w:color="auto" w:sz="8" w:space="0"/>
              <w:left w:val="single" w:color="auto" w:sz="8" w:space="0"/>
              <w:bottom w:val="single" w:color="auto" w:sz="8" w:space="0"/>
              <w:right w:val="single" w:color="auto" w:sz="8" w:space="0"/>
            </w:tcBorders>
            <w:vAlign w:val="center"/>
          </w:tcPr>
          <w:p w14:paraId="6565F5C6">
            <w:pPr>
              <w:adjustRightInd w:val="0"/>
              <w:snapToGrid w:val="0"/>
              <w:jc w:val="center"/>
              <w:rPr>
                <w:rFonts w:hint="default" w:ascii="Times New Roman" w:hAnsi="Times New Roman" w:eastAsia="仿宋_GB2312"/>
                <w:sz w:val="20"/>
                <w:lang w:val="en-US" w:eastAsia="zh-CN"/>
              </w:rPr>
            </w:pPr>
            <w:r>
              <w:rPr>
                <w:rFonts w:hint="eastAsia" w:ascii="Times New Roman" w:hAnsi="Times New Roman" w:eastAsia="仿宋_GB2312"/>
                <w:sz w:val="20"/>
                <w:szCs w:val="21"/>
              </w:rPr>
              <w:t>31</w:t>
            </w:r>
            <w:r>
              <w:rPr>
                <w:rFonts w:hint="eastAsia" w:ascii="Times New Roman" w:hAnsi="Times New Roman" w:eastAsia="仿宋_GB2312"/>
                <w:sz w:val="20"/>
                <w:szCs w:val="21"/>
                <w:lang w:val="en-US" w:eastAsia="zh-CN"/>
              </w:rPr>
              <w:t>.06</w:t>
            </w:r>
          </w:p>
        </w:tc>
        <w:tc>
          <w:tcPr>
            <w:tcW w:w="1134" w:type="dxa"/>
            <w:tcBorders>
              <w:top w:val="single" w:color="auto" w:sz="8" w:space="0"/>
              <w:left w:val="single" w:color="auto" w:sz="8" w:space="0"/>
              <w:bottom w:val="single" w:color="auto" w:sz="8" w:space="0"/>
              <w:right w:val="single" w:color="auto" w:sz="8" w:space="0"/>
            </w:tcBorders>
            <w:vAlign w:val="center"/>
          </w:tcPr>
          <w:p w14:paraId="3124960A">
            <w:pPr>
              <w:adjustRightInd w:val="0"/>
              <w:snapToGrid w:val="0"/>
              <w:jc w:val="center"/>
              <w:rPr>
                <w:rFonts w:ascii="Times New Roman" w:hAnsi="Times New Roman" w:eastAsia="仿宋_GB2312"/>
                <w:sz w:val="20"/>
                <w:szCs w:val="22"/>
              </w:rPr>
            </w:pPr>
            <w:r>
              <w:rPr>
                <w:rFonts w:hint="eastAsia" w:ascii="Times New Roman" w:hAnsi="Times New Roman" w:eastAsia="仿宋_GB2312"/>
                <w:sz w:val="20"/>
              </w:rPr>
              <w:t>50</w:t>
            </w:r>
          </w:p>
        </w:tc>
        <w:tc>
          <w:tcPr>
            <w:tcW w:w="821" w:type="dxa"/>
            <w:tcBorders>
              <w:top w:val="single" w:color="auto" w:sz="8" w:space="0"/>
              <w:left w:val="single" w:color="auto" w:sz="8" w:space="0"/>
              <w:bottom w:val="single" w:color="auto" w:sz="8" w:space="0"/>
              <w:right w:val="single" w:color="auto" w:sz="8" w:space="0"/>
            </w:tcBorders>
            <w:vAlign w:val="center"/>
          </w:tcPr>
          <w:p w14:paraId="681EB575">
            <w:pPr>
              <w:adjustRightInd w:val="0"/>
              <w:snapToGrid w:val="0"/>
              <w:jc w:val="center"/>
              <w:rPr>
                <w:rFonts w:ascii="Times New Roman" w:hAnsi="Times New Roman" w:eastAsia="仿宋_GB2312"/>
                <w:sz w:val="20"/>
                <w:szCs w:val="22"/>
              </w:rPr>
            </w:pPr>
            <w:r>
              <w:rPr>
                <w:rFonts w:hint="eastAsia" w:ascii="Times New Roman" w:hAnsi="Times New Roman" w:eastAsia="仿宋_GB2312"/>
                <w:sz w:val="20"/>
              </w:rPr>
              <w:t>10</w:t>
            </w:r>
          </w:p>
        </w:tc>
        <w:tc>
          <w:tcPr>
            <w:tcW w:w="879" w:type="dxa"/>
            <w:tcBorders>
              <w:top w:val="single" w:color="auto" w:sz="8" w:space="0"/>
              <w:left w:val="single" w:color="auto" w:sz="8" w:space="0"/>
              <w:bottom w:val="single" w:color="auto" w:sz="8" w:space="0"/>
              <w:right w:val="single" w:color="auto" w:sz="8" w:space="0"/>
            </w:tcBorders>
            <w:vAlign w:val="center"/>
          </w:tcPr>
          <w:p w14:paraId="0B9992EC">
            <w:pPr>
              <w:jc w:val="center"/>
              <w:rPr>
                <w:rFonts w:ascii="Times New Roman" w:hAnsi="Times New Roman" w:eastAsia="仿宋_GB2312"/>
                <w:sz w:val="20"/>
                <w:szCs w:val="21"/>
              </w:rPr>
            </w:pPr>
            <w:r>
              <w:rPr>
                <w:rFonts w:hint="eastAsia" w:ascii="Times New Roman" w:hAnsi="Times New Roman" w:eastAsia="仿宋_GB2312"/>
                <w:sz w:val="20"/>
                <w:szCs w:val="21"/>
              </w:rPr>
              <w:t>预期性</w:t>
            </w:r>
          </w:p>
        </w:tc>
      </w:tr>
      <w:tr w14:paraId="4E7C51A9">
        <w:tblPrEx>
          <w:tblCellMar>
            <w:top w:w="0" w:type="dxa"/>
            <w:left w:w="108" w:type="dxa"/>
            <w:bottom w:w="0" w:type="dxa"/>
            <w:right w:w="108" w:type="dxa"/>
          </w:tblCellMar>
        </w:tblPrEx>
        <w:trPr>
          <w:trHeight w:val="454" w:hRule="exact"/>
          <w:jc w:val="center"/>
        </w:trPr>
        <w:tc>
          <w:tcPr>
            <w:tcW w:w="416" w:type="dxa"/>
            <w:vMerge w:val="restart"/>
            <w:tcBorders>
              <w:top w:val="nil"/>
              <w:left w:val="single" w:color="000000" w:sz="8" w:space="0"/>
              <w:right w:val="single" w:color="000000" w:sz="8" w:space="0"/>
            </w:tcBorders>
            <w:vAlign w:val="center"/>
          </w:tcPr>
          <w:p w14:paraId="354AAE66">
            <w:pPr>
              <w:jc w:val="center"/>
              <w:rPr>
                <w:rFonts w:ascii="黑体" w:hAnsi="黑体" w:eastAsia="黑体" w:cs="黑体"/>
                <w:sz w:val="20"/>
                <w:szCs w:val="21"/>
              </w:rPr>
            </w:pPr>
            <w:r>
              <w:rPr>
                <w:rFonts w:hint="eastAsia" w:ascii="黑体" w:hAnsi="黑体" w:eastAsia="黑体" w:cs="黑体"/>
                <w:sz w:val="20"/>
                <w:szCs w:val="21"/>
              </w:rPr>
              <w:t>创新</w:t>
            </w:r>
          </w:p>
          <w:p w14:paraId="06C037EB">
            <w:pPr>
              <w:jc w:val="center"/>
              <w:rPr>
                <w:rFonts w:ascii="黑体" w:hAnsi="黑体" w:eastAsia="黑体" w:cs="黑体"/>
                <w:sz w:val="20"/>
                <w:szCs w:val="21"/>
              </w:rPr>
            </w:pPr>
            <w:r>
              <w:rPr>
                <w:rFonts w:hint="eastAsia" w:ascii="黑体" w:hAnsi="黑体" w:eastAsia="黑体" w:cs="黑体"/>
                <w:sz w:val="20"/>
                <w:szCs w:val="21"/>
              </w:rPr>
              <w:t>驱动</w:t>
            </w:r>
          </w:p>
        </w:tc>
        <w:tc>
          <w:tcPr>
            <w:tcW w:w="4602" w:type="dxa"/>
            <w:gridSpan w:val="3"/>
            <w:tcBorders>
              <w:top w:val="nil"/>
              <w:left w:val="nil"/>
              <w:bottom w:val="single" w:color="000000" w:sz="8" w:space="0"/>
              <w:right w:val="single" w:color="auto" w:sz="8" w:space="0"/>
            </w:tcBorders>
            <w:vAlign w:val="center"/>
          </w:tcPr>
          <w:p w14:paraId="0AC491A5">
            <w:pPr>
              <w:adjustRightInd w:val="0"/>
              <w:snapToGrid w:val="0"/>
              <w:jc w:val="left"/>
              <w:rPr>
                <w:rFonts w:ascii="Times New Roman" w:hAnsi="Times New Roman" w:eastAsia="仿宋_GB2312"/>
                <w:color w:val="000000" w:themeColor="text1"/>
                <w:sz w:val="20"/>
              </w:rPr>
            </w:pPr>
            <w:r>
              <w:rPr>
                <w:rFonts w:hint="eastAsia" w:ascii="Times New Roman" w:hAnsi="Times New Roman" w:eastAsia="仿宋_GB2312"/>
                <w:color w:val="000000" w:themeColor="text1"/>
                <w:sz w:val="20"/>
                <w:szCs w:val="21"/>
              </w:rPr>
              <w:t>10.研发经费投入增长（%）</w:t>
            </w:r>
          </w:p>
        </w:tc>
        <w:tc>
          <w:tcPr>
            <w:tcW w:w="1134" w:type="dxa"/>
            <w:tcBorders>
              <w:top w:val="single" w:color="auto" w:sz="8" w:space="0"/>
              <w:left w:val="single" w:color="auto" w:sz="8" w:space="0"/>
              <w:bottom w:val="single" w:color="auto" w:sz="8" w:space="0"/>
              <w:right w:val="single" w:color="auto" w:sz="8" w:space="0"/>
            </w:tcBorders>
            <w:vAlign w:val="center"/>
          </w:tcPr>
          <w:p w14:paraId="508B30BD">
            <w:pPr>
              <w:adjustRightInd w:val="0"/>
              <w:snapToGrid w:val="0"/>
              <w:jc w:val="center"/>
              <w:rPr>
                <w:rFonts w:ascii="Times New Roman" w:hAnsi="Times New Roman" w:eastAsia="仿宋_GB2312"/>
                <w:sz w:val="20"/>
              </w:rPr>
            </w:pPr>
            <w:r>
              <w:rPr>
                <w:rFonts w:hint="eastAsia" w:ascii="Times New Roman" w:hAnsi="Times New Roman" w:eastAsia="仿宋_GB2312"/>
                <w:sz w:val="20"/>
              </w:rPr>
              <w:t>—</w:t>
            </w:r>
          </w:p>
        </w:tc>
        <w:tc>
          <w:tcPr>
            <w:tcW w:w="1134" w:type="dxa"/>
            <w:tcBorders>
              <w:top w:val="single" w:color="auto" w:sz="8" w:space="0"/>
              <w:left w:val="single" w:color="auto" w:sz="8" w:space="0"/>
              <w:bottom w:val="single" w:color="auto" w:sz="8" w:space="0"/>
              <w:right w:val="single" w:color="auto" w:sz="8" w:space="0"/>
            </w:tcBorders>
            <w:vAlign w:val="center"/>
          </w:tcPr>
          <w:p w14:paraId="3849C350">
            <w:pPr>
              <w:adjustRightInd w:val="0"/>
              <w:snapToGrid w:val="0"/>
              <w:jc w:val="center"/>
              <w:rPr>
                <w:rFonts w:ascii="Times New Roman" w:hAnsi="Times New Roman" w:eastAsia="仿宋_GB2312"/>
                <w:sz w:val="20"/>
              </w:rPr>
            </w:pPr>
            <w:r>
              <w:rPr>
                <w:rFonts w:hint="eastAsia" w:ascii="Times New Roman" w:hAnsi="Times New Roman" w:eastAsia="仿宋_GB2312"/>
                <w:sz w:val="20"/>
              </w:rPr>
              <w:t>—</w:t>
            </w:r>
          </w:p>
        </w:tc>
        <w:tc>
          <w:tcPr>
            <w:tcW w:w="821" w:type="dxa"/>
            <w:tcBorders>
              <w:top w:val="single" w:color="auto" w:sz="8" w:space="0"/>
              <w:left w:val="single" w:color="auto" w:sz="8" w:space="0"/>
              <w:bottom w:val="single" w:color="auto" w:sz="8" w:space="0"/>
              <w:right w:val="single" w:color="auto" w:sz="8" w:space="0"/>
            </w:tcBorders>
            <w:vAlign w:val="center"/>
          </w:tcPr>
          <w:p w14:paraId="44326668">
            <w:pPr>
              <w:adjustRightInd w:val="0"/>
              <w:snapToGrid w:val="0"/>
              <w:jc w:val="center"/>
              <w:rPr>
                <w:rFonts w:ascii="Times New Roman" w:hAnsi="Times New Roman" w:eastAsia="仿宋_GB2312"/>
                <w:sz w:val="20"/>
                <w:szCs w:val="22"/>
              </w:rPr>
            </w:pPr>
            <w:r>
              <w:rPr>
                <w:rFonts w:hint="eastAsia" w:ascii="Times New Roman" w:hAnsi="Times New Roman" w:eastAsia="仿宋_GB2312"/>
                <w:sz w:val="20"/>
                <w:szCs w:val="22"/>
              </w:rPr>
              <w:t>＞9</w:t>
            </w:r>
          </w:p>
        </w:tc>
        <w:tc>
          <w:tcPr>
            <w:tcW w:w="879" w:type="dxa"/>
            <w:tcBorders>
              <w:top w:val="single" w:color="auto" w:sz="8" w:space="0"/>
              <w:left w:val="single" w:color="auto" w:sz="8" w:space="0"/>
              <w:bottom w:val="single" w:color="auto" w:sz="8" w:space="0"/>
              <w:right w:val="single" w:color="auto" w:sz="8" w:space="0"/>
            </w:tcBorders>
            <w:vAlign w:val="center"/>
          </w:tcPr>
          <w:p w14:paraId="2FBCB89D">
            <w:pPr>
              <w:jc w:val="center"/>
              <w:rPr>
                <w:rFonts w:ascii="Times New Roman" w:hAnsi="Times New Roman" w:eastAsia="仿宋_GB2312"/>
                <w:sz w:val="20"/>
                <w:szCs w:val="21"/>
              </w:rPr>
            </w:pPr>
            <w:r>
              <w:rPr>
                <w:rFonts w:hint="eastAsia" w:ascii="Times New Roman" w:hAnsi="Times New Roman" w:eastAsia="仿宋_GB2312"/>
                <w:sz w:val="20"/>
                <w:szCs w:val="21"/>
              </w:rPr>
              <w:t>预期性</w:t>
            </w:r>
          </w:p>
        </w:tc>
      </w:tr>
      <w:tr w14:paraId="2752A817">
        <w:tblPrEx>
          <w:tblCellMar>
            <w:top w:w="0" w:type="dxa"/>
            <w:left w:w="108" w:type="dxa"/>
            <w:bottom w:w="0" w:type="dxa"/>
            <w:right w:w="108" w:type="dxa"/>
          </w:tblCellMar>
        </w:tblPrEx>
        <w:trPr>
          <w:trHeight w:val="533" w:hRule="exact"/>
          <w:jc w:val="center"/>
        </w:trPr>
        <w:tc>
          <w:tcPr>
            <w:tcW w:w="416" w:type="dxa"/>
            <w:vMerge w:val="continue"/>
            <w:tcBorders>
              <w:left w:val="single" w:color="000000" w:sz="8" w:space="0"/>
              <w:right w:val="single" w:color="000000" w:sz="8" w:space="0"/>
            </w:tcBorders>
            <w:vAlign w:val="center"/>
          </w:tcPr>
          <w:p w14:paraId="22A4AB44">
            <w:pPr>
              <w:jc w:val="center"/>
              <w:rPr>
                <w:rFonts w:ascii="黑体" w:hAnsi="黑体" w:eastAsia="黑体" w:cs="黑体"/>
                <w:sz w:val="20"/>
                <w:szCs w:val="21"/>
              </w:rPr>
            </w:pPr>
          </w:p>
        </w:tc>
        <w:tc>
          <w:tcPr>
            <w:tcW w:w="4602" w:type="dxa"/>
            <w:gridSpan w:val="3"/>
            <w:tcBorders>
              <w:top w:val="nil"/>
              <w:left w:val="nil"/>
              <w:bottom w:val="single" w:color="000000" w:sz="8" w:space="0"/>
              <w:right w:val="single" w:color="auto" w:sz="8" w:space="0"/>
            </w:tcBorders>
            <w:vAlign w:val="center"/>
          </w:tcPr>
          <w:p w14:paraId="199DAB7D">
            <w:pPr>
              <w:adjustRightInd w:val="0"/>
              <w:snapToGrid w:val="0"/>
              <w:jc w:val="left"/>
              <w:rPr>
                <w:rFonts w:ascii="Times New Roman" w:hAnsi="Times New Roman" w:eastAsia="仿宋_GB2312"/>
                <w:sz w:val="20"/>
                <w:szCs w:val="22"/>
              </w:rPr>
            </w:pPr>
            <w:r>
              <w:rPr>
                <w:rFonts w:hint="eastAsia" w:ascii="Times New Roman" w:hAnsi="Times New Roman" w:eastAsia="仿宋_GB2312"/>
                <w:sz w:val="20"/>
                <w:szCs w:val="21"/>
              </w:rPr>
              <w:t>11.战略性新兴产业产值占规模以上工业产值比重（%）</w:t>
            </w:r>
          </w:p>
        </w:tc>
        <w:tc>
          <w:tcPr>
            <w:tcW w:w="1134" w:type="dxa"/>
            <w:tcBorders>
              <w:top w:val="single" w:color="auto" w:sz="8" w:space="0"/>
              <w:left w:val="single" w:color="auto" w:sz="8" w:space="0"/>
              <w:bottom w:val="single" w:color="auto" w:sz="8" w:space="0"/>
              <w:right w:val="single" w:color="auto" w:sz="8" w:space="0"/>
            </w:tcBorders>
            <w:vAlign w:val="center"/>
          </w:tcPr>
          <w:p w14:paraId="6B5E9B5A">
            <w:pPr>
              <w:adjustRightInd w:val="0"/>
              <w:snapToGrid w:val="0"/>
              <w:jc w:val="center"/>
              <w:rPr>
                <w:rFonts w:hint="default" w:ascii="Times New Roman" w:hAnsi="Times New Roman" w:eastAsia="仿宋_GB2312"/>
                <w:sz w:val="20"/>
                <w:szCs w:val="22"/>
                <w:lang w:val="en-US" w:eastAsia="zh-CN"/>
              </w:rPr>
            </w:pPr>
            <w:r>
              <w:rPr>
                <w:rFonts w:hint="eastAsia" w:ascii="Times New Roman" w:hAnsi="Times New Roman" w:eastAsia="仿宋_GB2312"/>
                <w:sz w:val="20"/>
                <w:szCs w:val="22"/>
                <w:lang w:val="en-US" w:eastAsia="zh-CN"/>
              </w:rPr>
              <w:t>27.9</w:t>
            </w:r>
          </w:p>
        </w:tc>
        <w:tc>
          <w:tcPr>
            <w:tcW w:w="1134" w:type="dxa"/>
            <w:tcBorders>
              <w:top w:val="single" w:color="auto" w:sz="8" w:space="0"/>
              <w:left w:val="single" w:color="auto" w:sz="8" w:space="0"/>
              <w:bottom w:val="single" w:color="auto" w:sz="8" w:space="0"/>
              <w:right w:val="single" w:color="auto" w:sz="8" w:space="0"/>
            </w:tcBorders>
            <w:vAlign w:val="center"/>
          </w:tcPr>
          <w:p w14:paraId="6A85508A">
            <w:pPr>
              <w:adjustRightInd w:val="0"/>
              <w:snapToGrid w:val="0"/>
              <w:jc w:val="center"/>
              <w:rPr>
                <w:rFonts w:ascii="Times New Roman" w:hAnsi="Times New Roman" w:eastAsia="仿宋_GB2312"/>
                <w:sz w:val="20"/>
                <w:szCs w:val="22"/>
              </w:rPr>
            </w:pPr>
            <w:r>
              <w:rPr>
                <w:rFonts w:hint="eastAsia" w:ascii="Times New Roman" w:hAnsi="Times New Roman" w:eastAsia="仿宋_GB2312"/>
                <w:sz w:val="20"/>
                <w:szCs w:val="22"/>
              </w:rPr>
              <w:t>35</w:t>
            </w:r>
          </w:p>
        </w:tc>
        <w:tc>
          <w:tcPr>
            <w:tcW w:w="821" w:type="dxa"/>
            <w:tcBorders>
              <w:top w:val="single" w:color="auto" w:sz="8" w:space="0"/>
              <w:left w:val="single" w:color="auto" w:sz="8" w:space="0"/>
              <w:bottom w:val="single" w:color="auto" w:sz="8" w:space="0"/>
              <w:right w:val="single" w:color="auto" w:sz="8" w:space="0"/>
            </w:tcBorders>
            <w:vAlign w:val="center"/>
          </w:tcPr>
          <w:p w14:paraId="080120F0">
            <w:pPr>
              <w:adjustRightInd w:val="0"/>
              <w:snapToGrid w:val="0"/>
              <w:jc w:val="center"/>
              <w:rPr>
                <w:rFonts w:ascii="Times New Roman" w:hAnsi="Times New Roman" w:eastAsia="仿宋_GB2312"/>
                <w:sz w:val="20"/>
                <w:szCs w:val="22"/>
              </w:rPr>
            </w:pPr>
            <w:r>
              <w:rPr>
                <w:rFonts w:hint="eastAsia" w:ascii="Times New Roman" w:hAnsi="Times New Roman" w:eastAsia="仿宋_GB2312"/>
                <w:sz w:val="20"/>
                <w:szCs w:val="21"/>
              </w:rPr>
              <w:t>—</w:t>
            </w:r>
          </w:p>
        </w:tc>
        <w:tc>
          <w:tcPr>
            <w:tcW w:w="879" w:type="dxa"/>
            <w:tcBorders>
              <w:top w:val="single" w:color="auto" w:sz="8" w:space="0"/>
              <w:left w:val="single" w:color="auto" w:sz="8" w:space="0"/>
              <w:bottom w:val="single" w:color="auto" w:sz="8" w:space="0"/>
              <w:right w:val="single" w:color="auto" w:sz="8" w:space="0"/>
            </w:tcBorders>
            <w:vAlign w:val="center"/>
          </w:tcPr>
          <w:p w14:paraId="0E76448C">
            <w:pPr>
              <w:jc w:val="center"/>
              <w:rPr>
                <w:rFonts w:ascii="Times New Roman" w:hAnsi="Times New Roman" w:eastAsia="仿宋_GB2312"/>
                <w:sz w:val="20"/>
                <w:szCs w:val="21"/>
              </w:rPr>
            </w:pPr>
            <w:r>
              <w:rPr>
                <w:rFonts w:hint="eastAsia" w:ascii="Times New Roman" w:hAnsi="Times New Roman" w:eastAsia="仿宋_GB2312"/>
                <w:sz w:val="20"/>
                <w:szCs w:val="21"/>
              </w:rPr>
              <w:t>预期性</w:t>
            </w:r>
          </w:p>
        </w:tc>
      </w:tr>
      <w:tr w14:paraId="53859B4A">
        <w:tblPrEx>
          <w:tblCellMar>
            <w:top w:w="0" w:type="dxa"/>
            <w:left w:w="108" w:type="dxa"/>
            <w:bottom w:w="0" w:type="dxa"/>
            <w:right w:w="108" w:type="dxa"/>
          </w:tblCellMar>
        </w:tblPrEx>
        <w:trPr>
          <w:trHeight w:val="559" w:hRule="exact"/>
          <w:jc w:val="center"/>
        </w:trPr>
        <w:tc>
          <w:tcPr>
            <w:tcW w:w="416" w:type="dxa"/>
            <w:vMerge w:val="continue"/>
            <w:tcBorders>
              <w:left w:val="single" w:color="000000" w:sz="8" w:space="0"/>
              <w:right w:val="single" w:color="000000" w:sz="8" w:space="0"/>
            </w:tcBorders>
            <w:vAlign w:val="center"/>
          </w:tcPr>
          <w:p w14:paraId="7E7AE5A2">
            <w:pPr>
              <w:jc w:val="center"/>
              <w:rPr>
                <w:rFonts w:ascii="黑体" w:hAnsi="黑体" w:eastAsia="黑体" w:cs="黑体"/>
                <w:sz w:val="20"/>
                <w:szCs w:val="21"/>
              </w:rPr>
            </w:pPr>
          </w:p>
        </w:tc>
        <w:tc>
          <w:tcPr>
            <w:tcW w:w="1315" w:type="dxa"/>
            <w:vMerge w:val="restart"/>
            <w:tcBorders>
              <w:top w:val="nil"/>
              <w:left w:val="nil"/>
              <w:right w:val="single" w:color="000000" w:sz="8" w:space="0"/>
            </w:tcBorders>
            <w:vAlign w:val="center"/>
          </w:tcPr>
          <w:p w14:paraId="77FB587C">
            <w:pPr>
              <w:jc w:val="left"/>
              <w:rPr>
                <w:rFonts w:ascii="Times New Roman" w:hAnsi="Times New Roman" w:eastAsia="仿宋_GB2312"/>
                <w:sz w:val="20"/>
                <w:szCs w:val="21"/>
              </w:rPr>
            </w:pPr>
            <w:r>
              <w:rPr>
                <w:rFonts w:hint="eastAsia" w:ascii="Times New Roman" w:hAnsi="Times New Roman" w:eastAsia="仿宋_GB2312"/>
                <w:sz w:val="20"/>
                <w:szCs w:val="21"/>
              </w:rPr>
              <w:t>12.发明专利拥有量（件）</w:t>
            </w:r>
          </w:p>
        </w:tc>
        <w:tc>
          <w:tcPr>
            <w:tcW w:w="3287" w:type="dxa"/>
            <w:gridSpan w:val="2"/>
            <w:tcBorders>
              <w:top w:val="single" w:color="auto" w:sz="8" w:space="0"/>
              <w:left w:val="single" w:color="auto" w:sz="8" w:space="0"/>
              <w:bottom w:val="single" w:color="auto" w:sz="8" w:space="0"/>
              <w:right w:val="single" w:color="auto" w:sz="8" w:space="0"/>
            </w:tcBorders>
          </w:tcPr>
          <w:p w14:paraId="724F6FFE">
            <w:pPr>
              <w:adjustRightInd w:val="0"/>
              <w:snapToGrid w:val="0"/>
              <w:jc w:val="left"/>
              <w:rPr>
                <w:rFonts w:ascii="Times New Roman" w:hAnsi="Times New Roman" w:eastAsia="仿宋_GB2312"/>
                <w:sz w:val="20"/>
              </w:rPr>
            </w:pPr>
            <w:r>
              <w:rPr>
                <w:rFonts w:hint="eastAsia" w:ascii="Times New Roman" w:hAnsi="Times New Roman" w:eastAsia="仿宋_GB2312"/>
                <w:sz w:val="20"/>
                <w:szCs w:val="21"/>
              </w:rPr>
              <w:t>每万人口高价值发明专利拥有量（件）</w:t>
            </w:r>
          </w:p>
        </w:tc>
        <w:tc>
          <w:tcPr>
            <w:tcW w:w="1134" w:type="dxa"/>
            <w:tcBorders>
              <w:top w:val="single" w:color="auto" w:sz="8" w:space="0"/>
              <w:left w:val="single" w:color="auto" w:sz="8" w:space="0"/>
              <w:bottom w:val="single" w:color="auto" w:sz="8" w:space="0"/>
              <w:right w:val="single" w:color="auto" w:sz="8" w:space="0"/>
            </w:tcBorders>
            <w:vAlign w:val="center"/>
          </w:tcPr>
          <w:p w14:paraId="189594B2">
            <w:pPr>
              <w:adjustRightInd w:val="0"/>
              <w:snapToGrid w:val="0"/>
              <w:jc w:val="center"/>
              <w:rPr>
                <w:rFonts w:hint="eastAsia" w:ascii="Times New Roman" w:hAnsi="Times New Roman" w:eastAsia="仿宋_GB2312"/>
                <w:sz w:val="20"/>
                <w:lang w:val="en-US" w:eastAsia="zh-CN"/>
              </w:rPr>
            </w:pPr>
            <w:r>
              <w:rPr>
                <w:rFonts w:hint="eastAsia" w:ascii="Times New Roman" w:hAnsi="Times New Roman" w:eastAsia="仿宋_GB2312"/>
                <w:sz w:val="20"/>
              </w:rPr>
              <w:t>—</w:t>
            </w:r>
          </w:p>
        </w:tc>
        <w:tc>
          <w:tcPr>
            <w:tcW w:w="1134" w:type="dxa"/>
            <w:tcBorders>
              <w:top w:val="single" w:color="auto" w:sz="8" w:space="0"/>
              <w:left w:val="single" w:color="auto" w:sz="8" w:space="0"/>
              <w:bottom w:val="single" w:color="auto" w:sz="8" w:space="0"/>
              <w:right w:val="single" w:color="auto" w:sz="8" w:space="0"/>
            </w:tcBorders>
            <w:vAlign w:val="center"/>
          </w:tcPr>
          <w:p w14:paraId="71FD5AF0">
            <w:pPr>
              <w:adjustRightInd w:val="0"/>
              <w:snapToGrid w:val="0"/>
              <w:jc w:val="center"/>
              <w:rPr>
                <w:rFonts w:hint="default" w:ascii="Times New Roman" w:hAnsi="Times New Roman" w:eastAsia="仿宋_GB2312"/>
                <w:sz w:val="20"/>
                <w:lang w:val="en-US" w:eastAsia="zh-CN"/>
              </w:rPr>
            </w:pPr>
            <w:r>
              <w:rPr>
                <w:rFonts w:hint="eastAsia" w:ascii="Times New Roman" w:hAnsi="Times New Roman" w:eastAsia="仿宋_GB2312"/>
                <w:sz w:val="20"/>
                <w:lang w:val="en-US" w:eastAsia="zh-CN"/>
              </w:rPr>
              <w:t>力争达到全省水平</w:t>
            </w:r>
          </w:p>
        </w:tc>
        <w:tc>
          <w:tcPr>
            <w:tcW w:w="821" w:type="dxa"/>
            <w:tcBorders>
              <w:top w:val="single" w:color="auto" w:sz="8" w:space="0"/>
              <w:left w:val="single" w:color="auto" w:sz="8" w:space="0"/>
              <w:bottom w:val="single" w:color="auto" w:sz="8" w:space="0"/>
              <w:right w:val="single" w:color="auto" w:sz="8" w:space="0"/>
            </w:tcBorders>
            <w:vAlign w:val="center"/>
          </w:tcPr>
          <w:p w14:paraId="7DA14B2E">
            <w:pPr>
              <w:adjustRightInd w:val="0"/>
              <w:snapToGrid w:val="0"/>
              <w:jc w:val="center"/>
              <w:rPr>
                <w:rFonts w:hint="eastAsia" w:ascii="Times New Roman" w:hAnsi="Times New Roman" w:eastAsia="仿宋_GB2312"/>
                <w:sz w:val="20"/>
                <w:lang w:val="en-US" w:eastAsia="zh-CN"/>
              </w:rPr>
            </w:pPr>
            <w:r>
              <w:rPr>
                <w:rFonts w:hint="eastAsia" w:ascii="Times New Roman" w:hAnsi="Times New Roman" w:eastAsia="仿宋_GB2312"/>
                <w:sz w:val="20"/>
              </w:rPr>
              <w:t>—</w:t>
            </w:r>
          </w:p>
        </w:tc>
        <w:tc>
          <w:tcPr>
            <w:tcW w:w="879" w:type="dxa"/>
            <w:tcBorders>
              <w:top w:val="single" w:color="auto" w:sz="8" w:space="0"/>
              <w:left w:val="single" w:color="auto" w:sz="8" w:space="0"/>
              <w:bottom w:val="single" w:color="auto" w:sz="8" w:space="0"/>
              <w:right w:val="single" w:color="auto" w:sz="8" w:space="0"/>
            </w:tcBorders>
            <w:vAlign w:val="center"/>
          </w:tcPr>
          <w:p w14:paraId="4BECA273">
            <w:pPr>
              <w:jc w:val="center"/>
              <w:rPr>
                <w:rFonts w:ascii="Times New Roman" w:hAnsi="Times New Roman" w:eastAsia="仿宋_GB2312"/>
                <w:sz w:val="20"/>
                <w:szCs w:val="21"/>
              </w:rPr>
            </w:pPr>
            <w:r>
              <w:rPr>
                <w:rFonts w:hint="eastAsia" w:ascii="Times New Roman" w:hAnsi="Times New Roman" w:eastAsia="仿宋_GB2312"/>
                <w:sz w:val="20"/>
                <w:szCs w:val="21"/>
              </w:rPr>
              <w:t>预期性</w:t>
            </w:r>
          </w:p>
        </w:tc>
      </w:tr>
      <w:tr w14:paraId="51FDF6C3">
        <w:tblPrEx>
          <w:tblCellMar>
            <w:top w:w="0" w:type="dxa"/>
            <w:left w:w="108" w:type="dxa"/>
            <w:bottom w:w="0" w:type="dxa"/>
            <w:right w:w="108" w:type="dxa"/>
          </w:tblCellMar>
        </w:tblPrEx>
        <w:trPr>
          <w:trHeight w:val="363" w:hRule="exact"/>
          <w:jc w:val="center"/>
        </w:trPr>
        <w:tc>
          <w:tcPr>
            <w:tcW w:w="416" w:type="dxa"/>
            <w:vMerge w:val="continue"/>
            <w:tcBorders>
              <w:left w:val="single" w:color="000000" w:sz="8" w:space="0"/>
              <w:right w:val="single" w:color="000000" w:sz="8" w:space="0"/>
            </w:tcBorders>
            <w:vAlign w:val="center"/>
          </w:tcPr>
          <w:p w14:paraId="52F7576A">
            <w:pPr>
              <w:jc w:val="center"/>
              <w:rPr>
                <w:rFonts w:ascii="黑体" w:hAnsi="黑体" w:eastAsia="黑体" w:cs="黑体"/>
                <w:sz w:val="20"/>
                <w:szCs w:val="21"/>
              </w:rPr>
            </w:pPr>
          </w:p>
        </w:tc>
        <w:tc>
          <w:tcPr>
            <w:tcW w:w="1315" w:type="dxa"/>
            <w:vMerge w:val="continue"/>
            <w:tcBorders>
              <w:left w:val="nil"/>
              <w:bottom w:val="single" w:color="000000" w:sz="8" w:space="0"/>
              <w:right w:val="single" w:color="000000" w:sz="8" w:space="0"/>
            </w:tcBorders>
            <w:vAlign w:val="center"/>
          </w:tcPr>
          <w:p w14:paraId="2A6F1E8F">
            <w:pPr>
              <w:jc w:val="left"/>
              <w:rPr>
                <w:rFonts w:ascii="Times New Roman" w:hAnsi="Times New Roman" w:eastAsia="仿宋_GB2312"/>
                <w:sz w:val="20"/>
                <w:szCs w:val="21"/>
              </w:rPr>
            </w:pPr>
          </w:p>
        </w:tc>
        <w:tc>
          <w:tcPr>
            <w:tcW w:w="3287" w:type="dxa"/>
            <w:gridSpan w:val="2"/>
            <w:tcBorders>
              <w:top w:val="single" w:color="auto" w:sz="8" w:space="0"/>
              <w:left w:val="single" w:color="auto" w:sz="8" w:space="0"/>
              <w:bottom w:val="single" w:color="auto" w:sz="8" w:space="0"/>
              <w:right w:val="single" w:color="auto" w:sz="8" w:space="0"/>
            </w:tcBorders>
          </w:tcPr>
          <w:p w14:paraId="08B82405">
            <w:pPr>
              <w:adjustRightInd w:val="0"/>
              <w:snapToGrid w:val="0"/>
              <w:jc w:val="left"/>
              <w:rPr>
                <w:rFonts w:ascii="Times New Roman" w:hAnsi="Times New Roman" w:eastAsia="仿宋_GB2312"/>
                <w:sz w:val="20"/>
              </w:rPr>
            </w:pPr>
            <w:r>
              <w:rPr>
                <w:rFonts w:hint="eastAsia" w:ascii="Times New Roman" w:hAnsi="Times New Roman" w:eastAsia="仿宋_GB2312"/>
                <w:sz w:val="20"/>
              </w:rPr>
              <w:t>每万人</w:t>
            </w:r>
            <w:r>
              <w:rPr>
                <w:rFonts w:hint="eastAsia" w:ascii="Times New Roman" w:hAnsi="Times New Roman" w:eastAsia="仿宋_GB2312"/>
                <w:sz w:val="20"/>
                <w:szCs w:val="21"/>
              </w:rPr>
              <w:t>发明专利拥有量（件）</w:t>
            </w:r>
          </w:p>
        </w:tc>
        <w:tc>
          <w:tcPr>
            <w:tcW w:w="1134" w:type="dxa"/>
            <w:tcBorders>
              <w:top w:val="single" w:color="auto" w:sz="8" w:space="0"/>
              <w:left w:val="single" w:color="auto" w:sz="8" w:space="0"/>
              <w:bottom w:val="single" w:color="auto" w:sz="8" w:space="0"/>
              <w:right w:val="single" w:color="auto" w:sz="8" w:space="0"/>
            </w:tcBorders>
            <w:vAlign w:val="center"/>
          </w:tcPr>
          <w:p w14:paraId="216B25D4">
            <w:pPr>
              <w:adjustRightInd w:val="0"/>
              <w:snapToGrid w:val="0"/>
              <w:jc w:val="center"/>
              <w:rPr>
                <w:rFonts w:hint="default" w:ascii="Times New Roman" w:hAnsi="Times New Roman" w:eastAsia="仿宋_GB2312"/>
                <w:sz w:val="20"/>
                <w:lang w:val="en-US" w:eastAsia="zh-CN"/>
              </w:rPr>
            </w:pPr>
            <w:r>
              <w:rPr>
                <w:rFonts w:hint="eastAsia" w:ascii="Times New Roman" w:hAnsi="Times New Roman" w:eastAsia="仿宋_GB2312"/>
                <w:sz w:val="20"/>
                <w:lang w:val="en-US" w:eastAsia="zh-CN"/>
              </w:rPr>
              <w:t>6.5</w:t>
            </w:r>
          </w:p>
        </w:tc>
        <w:tc>
          <w:tcPr>
            <w:tcW w:w="1134" w:type="dxa"/>
            <w:tcBorders>
              <w:top w:val="single" w:color="auto" w:sz="8" w:space="0"/>
              <w:left w:val="single" w:color="auto" w:sz="8" w:space="0"/>
              <w:bottom w:val="single" w:color="auto" w:sz="8" w:space="0"/>
              <w:right w:val="single" w:color="auto" w:sz="8" w:space="0"/>
            </w:tcBorders>
            <w:vAlign w:val="center"/>
          </w:tcPr>
          <w:p w14:paraId="2397EBF9">
            <w:pPr>
              <w:adjustRightInd w:val="0"/>
              <w:snapToGrid w:val="0"/>
              <w:jc w:val="center"/>
              <w:rPr>
                <w:rFonts w:hint="default" w:ascii="Times New Roman" w:hAnsi="Times New Roman" w:eastAsia="仿宋_GB2312"/>
                <w:sz w:val="20"/>
                <w:lang w:val="en-US" w:eastAsia="zh-CN"/>
              </w:rPr>
            </w:pPr>
            <w:r>
              <w:rPr>
                <w:rFonts w:hint="eastAsia" w:ascii="Times New Roman" w:hAnsi="Times New Roman" w:eastAsia="仿宋_GB2312"/>
                <w:sz w:val="20"/>
                <w:lang w:val="en-US" w:eastAsia="zh-CN"/>
              </w:rPr>
              <w:t>13</w:t>
            </w:r>
          </w:p>
        </w:tc>
        <w:tc>
          <w:tcPr>
            <w:tcW w:w="821" w:type="dxa"/>
            <w:tcBorders>
              <w:top w:val="single" w:color="auto" w:sz="8" w:space="0"/>
              <w:left w:val="single" w:color="auto" w:sz="8" w:space="0"/>
              <w:bottom w:val="single" w:color="auto" w:sz="8" w:space="0"/>
              <w:right w:val="single" w:color="auto" w:sz="8" w:space="0"/>
            </w:tcBorders>
            <w:vAlign w:val="center"/>
          </w:tcPr>
          <w:p w14:paraId="5F33AB20">
            <w:pPr>
              <w:adjustRightInd w:val="0"/>
              <w:snapToGrid w:val="0"/>
              <w:jc w:val="center"/>
              <w:rPr>
                <w:rFonts w:ascii="Times New Roman" w:hAnsi="Times New Roman" w:eastAsia="仿宋_GB2312"/>
                <w:sz w:val="20"/>
                <w:szCs w:val="22"/>
              </w:rPr>
            </w:pPr>
          </w:p>
        </w:tc>
        <w:tc>
          <w:tcPr>
            <w:tcW w:w="879" w:type="dxa"/>
            <w:tcBorders>
              <w:top w:val="single" w:color="auto" w:sz="8" w:space="0"/>
              <w:left w:val="single" w:color="auto" w:sz="8" w:space="0"/>
              <w:bottom w:val="single" w:color="auto" w:sz="8" w:space="0"/>
              <w:right w:val="single" w:color="auto" w:sz="8" w:space="0"/>
            </w:tcBorders>
          </w:tcPr>
          <w:p w14:paraId="36645B3E">
            <w:pPr>
              <w:jc w:val="center"/>
              <w:rPr>
                <w:rFonts w:ascii="Times New Roman" w:hAnsi="Times New Roman" w:eastAsia="仿宋_GB2312"/>
                <w:sz w:val="20"/>
                <w:szCs w:val="21"/>
              </w:rPr>
            </w:pPr>
            <w:r>
              <w:rPr>
                <w:rFonts w:hint="eastAsia" w:ascii="Times New Roman" w:hAnsi="Times New Roman" w:eastAsia="仿宋_GB2312"/>
                <w:sz w:val="20"/>
                <w:szCs w:val="21"/>
              </w:rPr>
              <w:t>预期性</w:t>
            </w:r>
          </w:p>
        </w:tc>
      </w:tr>
      <w:tr w14:paraId="75AAFD91">
        <w:tblPrEx>
          <w:tblCellMar>
            <w:top w:w="0" w:type="dxa"/>
            <w:left w:w="108" w:type="dxa"/>
            <w:bottom w:w="0" w:type="dxa"/>
            <w:right w:w="108" w:type="dxa"/>
          </w:tblCellMar>
        </w:tblPrEx>
        <w:trPr>
          <w:trHeight w:val="454" w:hRule="exact"/>
          <w:jc w:val="center"/>
        </w:trPr>
        <w:tc>
          <w:tcPr>
            <w:tcW w:w="416" w:type="dxa"/>
            <w:vMerge w:val="continue"/>
            <w:tcBorders>
              <w:left w:val="single" w:color="000000" w:sz="8" w:space="0"/>
              <w:right w:val="single" w:color="000000" w:sz="8" w:space="0"/>
            </w:tcBorders>
            <w:vAlign w:val="center"/>
          </w:tcPr>
          <w:p w14:paraId="284073F2">
            <w:pPr>
              <w:jc w:val="center"/>
              <w:rPr>
                <w:rFonts w:ascii="黑体" w:hAnsi="黑体" w:eastAsia="黑体" w:cs="黑体"/>
                <w:sz w:val="20"/>
                <w:szCs w:val="21"/>
              </w:rPr>
            </w:pPr>
          </w:p>
        </w:tc>
        <w:tc>
          <w:tcPr>
            <w:tcW w:w="1315" w:type="dxa"/>
            <w:vMerge w:val="restart"/>
            <w:tcBorders>
              <w:top w:val="nil"/>
              <w:left w:val="nil"/>
              <w:right w:val="single" w:color="000000" w:sz="8" w:space="0"/>
            </w:tcBorders>
            <w:vAlign w:val="center"/>
          </w:tcPr>
          <w:p w14:paraId="7ED661BA">
            <w:pPr>
              <w:jc w:val="left"/>
              <w:rPr>
                <w:rFonts w:ascii="Times New Roman" w:hAnsi="Times New Roman" w:eastAsia="仿宋_GB2312"/>
                <w:sz w:val="20"/>
                <w:szCs w:val="21"/>
              </w:rPr>
            </w:pPr>
            <w:r>
              <w:rPr>
                <w:rFonts w:hint="eastAsia" w:ascii="Times New Roman" w:hAnsi="Times New Roman" w:eastAsia="仿宋_GB2312"/>
                <w:sz w:val="20"/>
                <w:szCs w:val="21"/>
              </w:rPr>
              <w:t>13.数字经济增加值占比（%）</w:t>
            </w:r>
          </w:p>
        </w:tc>
        <w:tc>
          <w:tcPr>
            <w:tcW w:w="3287" w:type="dxa"/>
            <w:gridSpan w:val="2"/>
            <w:tcBorders>
              <w:top w:val="single" w:color="auto" w:sz="8" w:space="0"/>
              <w:left w:val="single" w:color="auto" w:sz="8" w:space="0"/>
              <w:bottom w:val="single" w:color="auto" w:sz="8" w:space="0"/>
              <w:right w:val="single" w:color="auto" w:sz="8" w:space="0"/>
            </w:tcBorders>
          </w:tcPr>
          <w:p w14:paraId="0E50ED20">
            <w:pPr>
              <w:adjustRightInd w:val="0"/>
              <w:snapToGrid w:val="0"/>
              <w:jc w:val="left"/>
              <w:rPr>
                <w:rFonts w:ascii="Times New Roman" w:hAnsi="Times New Roman" w:eastAsia="仿宋_GB2312"/>
                <w:sz w:val="20"/>
              </w:rPr>
            </w:pPr>
            <w:r>
              <w:rPr>
                <w:rFonts w:hint="eastAsia" w:ascii="Times New Roman" w:hAnsi="Times New Roman" w:eastAsia="仿宋_GB2312"/>
                <w:sz w:val="20"/>
              </w:rPr>
              <w:t>数字经济增加值占地区生产总值比重（%）</w:t>
            </w:r>
          </w:p>
        </w:tc>
        <w:tc>
          <w:tcPr>
            <w:tcW w:w="1134" w:type="dxa"/>
            <w:tcBorders>
              <w:top w:val="single" w:color="auto" w:sz="8" w:space="0"/>
              <w:left w:val="single" w:color="auto" w:sz="8" w:space="0"/>
              <w:bottom w:val="single" w:color="auto" w:sz="8" w:space="0"/>
              <w:right w:val="single" w:color="auto" w:sz="8" w:space="0"/>
            </w:tcBorders>
            <w:vAlign w:val="center"/>
          </w:tcPr>
          <w:p w14:paraId="2624FD31">
            <w:pPr>
              <w:jc w:val="center"/>
              <w:rPr>
                <w:rFonts w:ascii="Times New Roman" w:hAnsi="Times New Roman" w:eastAsia="仿宋_GB2312"/>
                <w:sz w:val="20"/>
              </w:rPr>
            </w:pPr>
            <w:r>
              <w:rPr>
                <w:rFonts w:hint="eastAsia" w:ascii="Times New Roman" w:hAnsi="Times New Roman" w:eastAsia="仿宋_GB2312"/>
                <w:sz w:val="20"/>
                <w:szCs w:val="21"/>
              </w:rPr>
              <w:t>—</w:t>
            </w:r>
          </w:p>
        </w:tc>
        <w:tc>
          <w:tcPr>
            <w:tcW w:w="1134" w:type="dxa"/>
            <w:tcBorders>
              <w:top w:val="single" w:color="auto" w:sz="8" w:space="0"/>
              <w:left w:val="single" w:color="auto" w:sz="8" w:space="0"/>
              <w:bottom w:val="single" w:color="auto" w:sz="8" w:space="0"/>
              <w:right w:val="single" w:color="auto" w:sz="8" w:space="0"/>
            </w:tcBorders>
            <w:vAlign w:val="center"/>
          </w:tcPr>
          <w:p w14:paraId="399791DC">
            <w:pPr>
              <w:adjustRightInd w:val="0"/>
              <w:snapToGrid w:val="0"/>
              <w:jc w:val="center"/>
              <w:rPr>
                <w:rFonts w:ascii="Times New Roman" w:hAnsi="Times New Roman" w:eastAsia="仿宋_GB2312"/>
                <w:sz w:val="20"/>
              </w:rPr>
            </w:pPr>
            <w:r>
              <w:rPr>
                <w:rFonts w:hint="eastAsia" w:ascii="Times New Roman" w:hAnsi="Times New Roman" w:eastAsia="仿宋_GB2312"/>
                <w:sz w:val="20"/>
              </w:rPr>
              <w:t>40</w:t>
            </w:r>
          </w:p>
        </w:tc>
        <w:tc>
          <w:tcPr>
            <w:tcW w:w="821" w:type="dxa"/>
            <w:tcBorders>
              <w:top w:val="single" w:color="auto" w:sz="8" w:space="0"/>
              <w:left w:val="single" w:color="auto" w:sz="8" w:space="0"/>
              <w:bottom w:val="single" w:color="auto" w:sz="8" w:space="0"/>
              <w:right w:val="single" w:color="auto" w:sz="8" w:space="0"/>
            </w:tcBorders>
            <w:vAlign w:val="center"/>
          </w:tcPr>
          <w:p w14:paraId="2B58C043">
            <w:pPr>
              <w:jc w:val="center"/>
              <w:rPr>
                <w:rFonts w:ascii="Times New Roman" w:hAnsi="Times New Roman" w:eastAsia="仿宋_GB2312"/>
                <w:sz w:val="20"/>
                <w:szCs w:val="22"/>
              </w:rPr>
            </w:pPr>
            <w:r>
              <w:rPr>
                <w:rFonts w:hint="eastAsia" w:ascii="Times New Roman" w:hAnsi="Times New Roman" w:eastAsia="仿宋_GB2312"/>
                <w:sz w:val="20"/>
                <w:szCs w:val="21"/>
              </w:rPr>
              <w:t>—</w:t>
            </w:r>
          </w:p>
        </w:tc>
        <w:tc>
          <w:tcPr>
            <w:tcW w:w="879" w:type="dxa"/>
            <w:tcBorders>
              <w:top w:val="single" w:color="auto" w:sz="8" w:space="0"/>
              <w:left w:val="single" w:color="auto" w:sz="8" w:space="0"/>
              <w:bottom w:val="single" w:color="auto" w:sz="8" w:space="0"/>
              <w:right w:val="single" w:color="auto" w:sz="8" w:space="0"/>
            </w:tcBorders>
          </w:tcPr>
          <w:p w14:paraId="091EB1D0">
            <w:pPr>
              <w:jc w:val="center"/>
              <w:rPr>
                <w:rFonts w:ascii="Times New Roman" w:hAnsi="Times New Roman" w:eastAsia="仿宋_GB2312"/>
                <w:sz w:val="20"/>
                <w:szCs w:val="21"/>
              </w:rPr>
            </w:pPr>
            <w:r>
              <w:rPr>
                <w:rFonts w:hint="eastAsia" w:ascii="Times New Roman" w:hAnsi="Times New Roman" w:eastAsia="仿宋_GB2312"/>
                <w:sz w:val="20"/>
                <w:szCs w:val="21"/>
              </w:rPr>
              <w:t>预期性</w:t>
            </w:r>
          </w:p>
        </w:tc>
      </w:tr>
      <w:tr w14:paraId="6C97A36E">
        <w:tblPrEx>
          <w:tblCellMar>
            <w:top w:w="0" w:type="dxa"/>
            <w:left w:w="108" w:type="dxa"/>
            <w:bottom w:w="0" w:type="dxa"/>
            <w:right w:w="108" w:type="dxa"/>
          </w:tblCellMar>
        </w:tblPrEx>
        <w:trPr>
          <w:trHeight w:val="454" w:hRule="exact"/>
          <w:jc w:val="center"/>
        </w:trPr>
        <w:tc>
          <w:tcPr>
            <w:tcW w:w="416" w:type="dxa"/>
            <w:vMerge w:val="continue"/>
            <w:tcBorders>
              <w:left w:val="single" w:color="000000" w:sz="8" w:space="0"/>
              <w:right w:val="single" w:color="000000" w:sz="8" w:space="0"/>
            </w:tcBorders>
            <w:vAlign w:val="center"/>
          </w:tcPr>
          <w:p w14:paraId="1BE886B9">
            <w:pPr>
              <w:jc w:val="center"/>
              <w:rPr>
                <w:rFonts w:ascii="黑体" w:hAnsi="黑体" w:eastAsia="黑体" w:cs="黑体"/>
                <w:sz w:val="20"/>
                <w:szCs w:val="21"/>
              </w:rPr>
            </w:pPr>
          </w:p>
        </w:tc>
        <w:tc>
          <w:tcPr>
            <w:tcW w:w="1315" w:type="dxa"/>
            <w:vMerge w:val="continue"/>
            <w:tcBorders>
              <w:left w:val="nil"/>
              <w:bottom w:val="single" w:color="000000" w:sz="8" w:space="0"/>
              <w:right w:val="single" w:color="000000" w:sz="8" w:space="0"/>
            </w:tcBorders>
            <w:vAlign w:val="center"/>
          </w:tcPr>
          <w:p w14:paraId="78829DF5">
            <w:pPr>
              <w:jc w:val="left"/>
              <w:rPr>
                <w:rFonts w:ascii="Times New Roman" w:hAnsi="Times New Roman" w:eastAsia="仿宋_GB2312"/>
                <w:sz w:val="20"/>
                <w:szCs w:val="21"/>
              </w:rPr>
            </w:pPr>
          </w:p>
        </w:tc>
        <w:tc>
          <w:tcPr>
            <w:tcW w:w="3287" w:type="dxa"/>
            <w:gridSpan w:val="2"/>
            <w:tcBorders>
              <w:top w:val="single" w:color="auto" w:sz="8" w:space="0"/>
              <w:left w:val="single" w:color="auto" w:sz="8" w:space="0"/>
              <w:bottom w:val="single" w:color="auto" w:sz="8" w:space="0"/>
              <w:right w:val="single" w:color="auto" w:sz="8" w:space="0"/>
            </w:tcBorders>
          </w:tcPr>
          <w:p w14:paraId="54700688">
            <w:pPr>
              <w:adjustRightInd w:val="0"/>
              <w:snapToGrid w:val="0"/>
              <w:jc w:val="left"/>
              <w:rPr>
                <w:rFonts w:ascii="Times New Roman" w:hAnsi="Times New Roman" w:eastAsia="仿宋_GB2312"/>
                <w:sz w:val="20"/>
              </w:rPr>
            </w:pPr>
            <w:r>
              <w:rPr>
                <w:rFonts w:hint="eastAsia" w:ascii="Times New Roman" w:hAnsi="Times New Roman" w:eastAsia="仿宋_GB2312"/>
                <w:sz w:val="20"/>
                <w:szCs w:val="21"/>
              </w:rPr>
              <w:t>数字经济核心产业增加值占GDP比重（%）</w:t>
            </w:r>
          </w:p>
        </w:tc>
        <w:tc>
          <w:tcPr>
            <w:tcW w:w="1134" w:type="dxa"/>
            <w:tcBorders>
              <w:top w:val="single" w:color="auto" w:sz="8" w:space="0"/>
              <w:left w:val="single" w:color="auto" w:sz="8" w:space="0"/>
              <w:bottom w:val="single" w:color="auto" w:sz="8" w:space="0"/>
              <w:right w:val="single" w:color="auto" w:sz="8" w:space="0"/>
            </w:tcBorders>
            <w:vAlign w:val="center"/>
          </w:tcPr>
          <w:p w14:paraId="0B544B88">
            <w:pPr>
              <w:jc w:val="center"/>
              <w:rPr>
                <w:rFonts w:ascii="Times New Roman" w:hAnsi="Times New Roman" w:eastAsia="仿宋_GB2312"/>
                <w:sz w:val="20"/>
              </w:rPr>
            </w:pPr>
            <w:r>
              <w:rPr>
                <w:rFonts w:hint="eastAsia" w:ascii="Times New Roman" w:hAnsi="Times New Roman" w:eastAsia="仿宋_GB2312"/>
                <w:sz w:val="20"/>
                <w:szCs w:val="21"/>
              </w:rPr>
              <w:t>—</w:t>
            </w:r>
          </w:p>
        </w:tc>
        <w:tc>
          <w:tcPr>
            <w:tcW w:w="1134" w:type="dxa"/>
            <w:tcBorders>
              <w:top w:val="single" w:color="auto" w:sz="8" w:space="0"/>
              <w:left w:val="single" w:color="auto" w:sz="8" w:space="0"/>
              <w:bottom w:val="single" w:color="auto" w:sz="8" w:space="0"/>
              <w:right w:val="single" w:color="auto" w:sz="8" w:space="0"/>
            </w:tcBorders>
            <w:vAlign w:val="center"/>
          </w:tcPr>
          <w:p w14:paraId="7F28D8F7">
            <w:pPr>
              <w:adjustRightInd w:val="0"/>
              <w:snapToGrid w:val="0"/>
              <w:jc w:val="center"/>
              <w:rPr>
                <w:rFonts w:ascii="Times New Roman" w:hAnsi="Times New Roman" w:eastAsia="仿宋_GB2312"/>
                <w:sz w:val="20"/>
              </w:rPr>
            </w:pPr>
            <w:r>
              <w:rPr>
                <w:rFonts w:hint="eastAsia" w:ascii="Times New Roman" w:hAnsi="Times New Roman" w:eastAsia="仿宋_GB2312"/>
                <w:sz w:val="20"/>
              </w:rPr>
              <w:t>10</w:t>
            </w:r>
          </w:p>
        </w:tc>
        <w:tc>
          <w:tcPr>
            <w:tcW w:w="821" w:type="dxa"/>
            <w:tcBorders>
              <w:top w:val="single" w:color="auto" w:sz="8" w:space="0"/>
              <w:left w:val="single" w:color="auto" w:sz="8" w:space="0"/>
              <w:bottom w:val="single" w:color="auto" w:sz="8" w:space="0"/>
              <w:right w:val="single" w:color="auto" w:sz="8" w:space="0"/>
            </w:tcBorders>
            <w:vAlign w:val="center"/>
          </w:tcPr>
          <w:p w14:paraId="10F1F29F">
            <w:pPr>
              <w:jc w:val="center"/>
              <w:rPr>
                <w:rFonts w:ascii="Times New Roman" w:hAnsi="Times New Roman" w:eastAsia="仿宋_GB2312"/>
                <w:sz w:val="20"/>
                <w:szCs w:val="22"/>
              </w:rPr>
            </w:pPr>
            <w:r>
              <w:rPr>
                <w:rFonts w:hint="eastAsia" w:ascii="Times New Roman" w:hAnsi="Times New Roman" w:eastAsia="仿宋_GB2312"/>
                <w:sz w:val="20"/>
                <w:szCs w:val="21"/>
              </w:rPr>
              <w:t>—</w:t>
            </w:r>
          </w:p>
        </w:tc>
        <w:tc>
          <w:tcPr>
            <w:tcW w:w="879" w:type="dxa"/>
            <w:tcBorders>
              <w:top w:val="single" w:color="auto" w:sz="8" w:space="0"/>
              <w:left w:val="single" w:color="auto" w:sz="8" w:space="0"/>
              <w:bottom w:val="single" w:color="auto" w:sz="8" w:space="0"/>
              <w:right w:val="single" w:color="auto" w:sz="8" w:space="0"/>
            </w:tcBorders>
            <w:vAlign w:val="center"/>
          </w:tcPr>
          <w:p w14:paraId="44E389FF">
            <w:pPr>
              <w:jc w:val="center"/>
              <w:rPr>
                <w:rFonts w:ascii="Times New Roman" w:hAnsi="Times New Roman" w:eastAsia="仿宋_GB2312"/>
                <w:sz w:val="20"/>
                <w:szCs w:val="21"/>
              </w:rPr>
            </w:pPr>
            <w:r>
              <w:rPr>
                <w:rFonts w:hint="eastAsia" w:ascii="Times New Roman" w:hAnsi="Times New Roman" w:eastAsia="仿宋_GB2312"/>
                <w:sz w:val="20"/>
                <w:szCs w:val="21"/>
              </w:rPr>
              <w:t>预期性</w:t>
            </w:r>
          </w:p>
        </w:tc>
      </w:tr>
      <w:tr w14:paraId="5E761878">
        <w:tblPrEx>
          <w:tblCellMar>
            <w:top w:w="0" w:type="dxa"/>
            <w:left w:w="108" w:type="dxa"/>
            <w:bottom w:w="0" w:type="dxa"/>
            <w:right w:w="108" w:type="dxa"/>
          </w:tblCellMar>
        </w:tblPrEx>
        <w:trPr>
          <w:trHeight w:val="454" w:hRule="exact"/>
          <w:jc w:val="center"/>
        </w:trPr>
        <w:tc>
          <w:tcPr>
            <w:tcW w:w="416" w:type="dxa"/>
            <w:vMerge w:val="continue"/>
            <w:tcBorders>
              <w:left w:val="single" w:color="000000" w:sz="8" w:space="0"/>
              <w:right w:val="single" w:color="000000" w:sz="8" w:space="0"/>
            </w:tcBorders>
            <w:vAlign w:val="center"/>
          </w:tcPr>
          <w:p w14:paraId="123C7653">
            <w:pPr>
              <w:jc w:val="center"/>
              <w:rPr>
                <w:rFonts w:ascii="黑体" w:hAnsi="黑体" w:eastAsia="黑体" w:cs="黑体"/>
                <w:sz w:val="20"/>
                <w:szCs w:val="21"/>
              </w:rPr>
            </w:pPr>
          </w:p>
        </w:tc>
        <w:tc>
          <w:tcPr>
            <w:tcW w:w="4602" w:type="dxa"/>
            <w:gridSpan w:val="3"/>
            <w:tcBorders>
              <w:top w:val="nil"/>
              <w:left w:val="nil"/>
              <w:bottom w:val="single" w:color="000000" w:sz="8" w:space="0"/>
              <w:right w:val="single" w:color="auto" w:sz="8" w:space="0"/>
            </w:tcBorders>
            <w:vAlign w:val="center"/>
          </w:tcPr>
          <w:p w14:paraId="3571291C">
            <w:pPr>
              <w:adjustRightInd w:val="0"/>
              <w:snapToGrid w:val="0"/>
              <w:jc w:val="left"/>
              <w:rPr>
                <w:rFonts w:ascii="Times New Roman" w:hAnsi="Times New Roman" w:eastAsia="仿宋_GB2312"/>
                <w:color w:val="000000" w:themeColor="text1"/>
                <w:sz w:val="20"/>
              </w:rPr>
            </w:pPr>
            <w:r>
              <w:rPr>
                <w:rFonts w:hint="eastAsia" w:ascii="Times New Roman" w:hAnsi="Times New Roman" w:eastAsia="仿宋_GB2312"/>
                <w:color w:val="000000" w:themeColor="text1"/>
                <w:sz w:val="20"/>
                <w:szCs w:val="21"/>
              </w:rPr>
              <w:t>14.高新技术企业数（个）</w:t>
            </w:r>
          </w:p>
        </w:tc>
        <w:tc>
          <w:tcPr>
            <w:tcW w:w="1134" w:type="dxa"/>
            <w:tcBorders>
              <w:top w:val="single" w:color="auto" w:sz="8" w:space="0"/>
              <w:left w:val="single" w:color="auto" w:sz="8" w:space="0"/>
              <w:bottom w:val="single" w:color="auto" w:sz="8" w:space="0"/>
              <w:right w:val="single" w:color="auto" w:sz="8" w:space="0"/>
            </w:tcBorders>
            <w:vAlign w:val="center"/>
          </w:tcPr>
          <w:p w14:paraId="7890D1DB">
            <w:pPr>
              <w:adjustRightInd w:val="0"/>
              <w:snapToGrid w:val="0"/>
              <w:jc w:val="center"/>
              <w:rPr>
                <w:rFonts w:hint="default" w:ascii="Times New Roman" w:hAnsi="Times New Roman" w:eastAsia="仿宋_GB2312"/>
                <w:sz w:val="20"/>
                <w:lang w:val="en-US" w:eastAsia="zh-CN"/>
              </w:rPr>
            </w:pPr>
            <w:r>
              <w:rPr>
                <w:rFonts w:hint="eastAsia" w:ascii="Times New Roman" w:hAnsi="Times New Roman" w:eastAsia="仿宋_GB2312"/>
                <w:sz w:val="20"/>
                <w:lang w:val="en-US" w:eastAsia="zh-CN"/>
              </w:rPr>
              <w:t>45</w:t>
            </w:r>
          </w:p>
        </w:tc>
        <w:tc>
          <w:tcPr>
            <w:tcW w:w="1134" w:type="dxa"/>
            <w:tcBorders>
              <w:top w:val="single" w:color="auto" w:sz="8" w:space="0"/>
              <w:left w:val="single" w:color="auto" w:sz="8" w:space="0"/>
              <w:bottom w:val="single" w:color="auto" w:sz="8" w:space="0"/>
              <w:right w:val="single" w:color="auto" w:sz="8" w:space="0"/>
            </w:tcBorders>
            <w:vAlign w:val="center"/>
          </w:tcPr>
          <w:p w14:paraId="10B881D5">
            <w:pPr>
              <w:adjustRightInd w:val="0"/>
              <w:snapToGrid w:val="0"/>
              <w:jc w:val="center"/>
              <w:rPr>
                <w:rFonts w:hint="eastAsia" w:ascii="Times New Roman" w:hAnsi="Times New Roman" w:eastAsia="仿宋_GB2312"/>
                <w:sz w:val="20"/>
                <w:lang w:val="en-US" w:eastAsia="zh-CN"/>
              </w:rPr>
            </w:pPr>
            <w:r>
              <w:rPr>
                <w:rFonts w:hint="eastAsia" w:ascii="Times New Roman" w:hAnsi="Times New Roman" w:eastAsia="仿宋_GB2312"/>
                <w:sz w:val="20"/>
                <w:lang w:val="en-US" w:eastAsia="zh-CN"/>
              </w:rPr>
              <w:t>100</w:t>
            </w:r>
          </w:p>
        </w:tc>
        <w:tc>
          <w:tcPr>
            <w:tcW w:w="821" w:type="dxa"/>
            <w:tcBorders>
              <w:top w:val="single" w:color="auto" w:sz="8" w:space="0"/>
              <w:left w:val="single" w:color="auto" w:sz="8" w:space="0"/>
              <w:bottom w:val="single" w:color="auto" w:sz="8" w:space="0"/>
              <w:right w:val="single" w:color="auto" w:sz="8" w:space="0"/>
            </w:tcBorders>
            <w:vAlign w:val="center"/>
          </w:tcPr>
          <w:p w14:paraId="2409808F">
            <w:pPr>
              <w:jc w:val="center"/>
              <w:rPr>
                <w:rFonts w:ascii="Times New Roman" w:hAnsi="Times New Roman" w:eastAsia="仿宋_GB2312"/>
                <w:sz w:val="20"/>
                <w:szCs w:val="22"/>
              </w:rPr>
            </w:pPr>
            <w:r>
              <w:rPr>
                <w:rFonts w:hint="eastAsia" w:ascii="Times New Roman" w:hAnsi="Times New Roman" w:eastAsia="仿宋_GB2312"/>
                <w:sz w:val="20"/>
                <w:szCs w:val="21"/>
              </w:rPr>
              <w:t>—</w:t>
            </w:r>
          </w:p>
        </w:tc>
        <w:tc>
          <w:tcPr>
            <w:tcW w:w="879" w:type="dxa"/>
            <w:tcBorders>
              <w:top w:val="single" w:color="auto" w:sz="8" w:space="0"/>
              <w:left w:val="single" w:color="auto" w:sz="8" w:space="0"/>
              <w:bottom w:val="single" w:color="auto" w:sz="8" w:space="0"/>
              <w:right w:val="single" w:color="auto" w:sz="8" w:space="0"/>
            </w:tcBorders>
            <w:vAlign w:val="center"/>
          </w:tcPr>
          <w:p w14:paraId="556F9D2A">
            <w:pPr>
              <w:jc w:val="center"/>
              <w:rPr>
                <w:rFonts w:ascii="Times New Roman" w:hAnsi="Times New Roman" w:eastAsia="仿宋_GB2312"/>
                <w:sz w:val="20"/>
                <w:szCs w:val="21"/>
              </w:rPr>
            </w:pPr>
            <w:r>
              <w:rPr>
                <w:rFonts w:hint="eastAsia" w:ascii="Times New Roman" w:hAnsi="Times New Roman" w:eastAsia="仿宋_GB2312"/>
                <w:sz w:val="20"/>
                <w:szCs w:val="21"/>
              </w:rPr>
              <w:t>预期性</w:t>
            </w:r>
          </w:p>
        </w:tc>
      </w:tr>
      <w:tr w14:paraId="59A3915D">
        <w:tblPrEx>
          <w:tblCellMar>
            <w:top w:w="0" w:type="dxa"/>
            <w:left w:w="108" w:type="dxa"/>
            <w:bottom w:w="0" w:type="dxa"/>
            <w:right w:w="108" w:type="dxa"/>
          </w:tblCellMar>
        </w:tblPrEx>
        <w:trPr>
          <w:trHeight w:val="474" w:hRule="exact"/>
          <w:jc w:val="center"/>
        </w:trPr>
        <w:tc>
          <w:tcPr>
            <w:tcW w:w="416" w:type="dxa"/>
            <w:vMerge w:val="continue"/>
            <w:tcBorders>
              <w:left w:val="single" w:color="000000" w:sz="8" w:space="0"/>
              <w:bottom w:val="single" w:color="000000" w:sz="8" w:space="0"/>
              <w:right w:val="single" w:color="000000" w:sz="8" w:space="0"/>
            </w:tcBorders>
            <w:vAlign w:val="center"/>
          </w:tcPr>
          <w:p w14:paraId="2024C67B">
            <w:pPr>
              <w:jc w:val="center"/>
              <w:rPr>
                <w:rFonts w:ascii="黑体" w:hAnsi="黑体" w:eastAsia="黑体" w:cs="黑体"/>
                <w:sz w:val="20"/>
                <w:szCs w:val="21"/>
              </w:rPr>
            </w:pPr>
          </w:p>
        </w:tc>
        <w:tc>
          <w:tcPr>
            <w:tcW w:w="4602" w:type="dxa"/>
            <w:gridSpan w:val="3"/>
            <w:tcBorders>
              <w:top w:val="nil"/>
              <w:left w:val="nil"/>
              <w:bottom w:val="single" w:color="000000" w:sz="8" w:space="0"/>
              <w:right w:val="single" w:color="auto" w:sz="8" w:space="0"/>
            </w:tcBorders>
            <w:vAlign w:val="center"/>
          </w:tcPr>
          <w:p w14:paraId="609806CB">
            <w:pPr>
              <w:adjustRightInd w:val="0"/>
              <w:snapToGrid w:val="0"/>
              <w:jc w:val="left"/>
              <w:rPr>
                <w:rFonts w:ascii="Times New Roman" w:hAnsi="Times New Roman" w:eastAsia="仿宋_GB2312"/>
                <w:color w:val="000000" w:themeColor="text1"/>
                <w:sz w:val="20"/>
                <w:szCs w:val="21"/>
              </w:rPr>
            </w:pPr>
            <w:r>
              <w:rPr>
                <w:rFonts w:hint="eastAsia" w:ascii="Times New Roman" w:hAnsi="Times New Roman" w:eastAsia="仿宋_GB2312"/>
                <w:color w:val="000000" w:themeColor="text1"/>
                <w:sz w:val="20"/>
                <w:szCs w:val="21"/>
              </w:rPr>
              <w:t>15.科技进步贡献率（%）</w:t>
            </w:r>
          </w:p>
        </w:tc>
        <w:tc>
          <w:tcPr>
            <w:tcW w:w="1134" w:type="dxa"/>
            <w:tcBorders>
              <w:top w:val="single" w:color="auto" w:sz="8" w:space="0"/>
              <w:left w:val="single" w:color="auto" w:sz="8" w:space="0"/>
              <w:bottom w:val="single" w:color="auto" w:sz="8" w:space="0"/>
              <w:right w:val="single" w:color="auto" w:sz="8" w:space="0"/>
            </w:tcBorders>
            <w:vAlign w:val="center"/>
          </w:tcPr>
          <w:p w14:paraId="7528D6D0">
            <w:pPr>
              <w:adjustRightInd w:val="0"/>
              <w:snapToGrid w:val="0"/>
              <w:jc w:val="center"/>
              <w:rPr>
                <w:rFonts w:ascii="Times New Roman" w:hAnsi="Times New Roman" w:eastAsia="仿宋_GB2312"/>
                <w:sz w:val="20"/>
              </w:rPr>
            </w:pPr>
            <w:r>
              <w:rPr>
                <w:rFonts w:hint="eastAsia" w:ascii="Times New Roman" w:hAnsi="Times New Roman" w:eastAsia="仿宋_GB2312"/>
                <w:sz w:val="20"/>
                <w:szCs w:val="21"/>
              </w:rPr>
              <w:t>—</w:t>
            </w:r>
          </w:p>
        </w:tc>
        <w:tc>
          <w:tcPr>
            <w:tcW w:w="1134" w:type="dxa"/>
            <w:tcBorders>
              <w:top w:val="single" w:color="auto" w:sz="8" w:space="0"/>
              <w:left w:val="single" w:color="auto" w:sz="8" w:space="0"/>
              <w:bottom w:val="single" w:color="auto" w:sz="8" w:space="0"/>
              <w:right w:val="single" w:color="auto" w:sz="8" w:space="0"/>
            </w:tcBorders>
            <w:vAlign w:val="center"/>
          </w:tcPr>
          <w:p w14:paraId="1405E271">
            <w:pPr>
              <w:adjustRightInd w:val="0"/>
              <w:snapToGrid w:val="0"/>
              <w:jc w:val="center"/>
              <w:rPr>
                <w:rFonts w:ascii="Times New Roman" w:hAnsi="Times New Roman" w:eastAsia="仿宋_GB2312"/>
                <w:sz w:val="20"/>
              </w:rPr>
            </w:pPr>
            <w:r>
              <w:rPr>
                <w:rFonts w:hint="eastAsia" w:ascii="Times New Roman" w:hAnsi="Times New Roman" w:eastAsia="仿宋_GB2312"/>
                <w:sz w:val="20"/>
                <w:szCs w:val="22"/>
              </w:rPr>
              <w:t>高于全省</w:t>
            </w:r>
          </w:p>
        </w:tc>
        <w:tc>
          <w:tcPr>
            <w:tcW w:w="821" w:type="dxa"/>
            <w:tcBorders>
              <w:top w:val="single" w:color="auto" w:sz="8" w:space="0"/>
              <w:left w:val="single" w:color="auto" w:sz="8" w:space="0"/>
              <w:bottom w:val="single" w:color="auto" w:sz="8" w:space="0"/>
              <w:right w:val="single" w:color="auto" w:sz="8" w:space="0"/>
            </w:tcBorders>
            <w:vAlign w:val="center"/>
          </w:tcPr>
          <w:p w14:paraId="55A87A63">
            <w:pPr>
              <w:jc w:val="center"/>
              <w:rPr>
                <w:rFonts w:ascii="Times New Roman" w:hAnsi="Times New Roman" w:eastAsia="仿宋_GB2312"/>
                <w:sz w:val="20"/>
                <w:szCs w:val="22"/>
              </w:rPr>
            </w:pPr>
            <w:r>
              <w:rPr>
                <w:rFonts w:hint="eastAsia" w:ascii="Times New Roman" w:hAnsi="Times New Roman" w:eastAsia="仿宋_GB2312"/>
                <w:sz w:val="20"/>
                <w:szCs w:val="21"/>
              </w:rPr>
              <w:t>—</w:t>
            </w:r>
          </w:p>
        </w:tc>
        <w:tc>
          <w:tcPr>
            <w:tcW w:w="879" w:type="dxa"/>
            <w:tcBorders>
              <w:top w:val="single" w:color="auto" w:sz="8" w:space="0"/>
              <w:left w:val="single" w:color="auto" w:sz="8" w:space="0"/>
              <w:bottom w:val="single" w:color="auto" w:sz="8" w:space="0"/>
              <w:right w:val="single" w:color="auto" w:sz="8" w:space="0"/>
            </w:tcBorders>
            <w:vAlign w:val="center"/>
          </w:tcPr>
          <w:p w14:paraId="4DF532AE">
            <w:pPr>
              <w:jc w:val="center"/>
              <w:rPr>
                <w:rFonts w:ascii="Times New Roman" w:hAnsi="Times New Roman" w:eastAsia="仿宋_GB2312"/>
                <w:sz w:val="20"/>
                <w:szCs w:val="21"/>
              </w:rPr>
            </w:pPr>
            <w:r>
              <w:rPr>
                <w:rFonts w:hint="eastAsia" w:ascii="Times New Roman" w:hAnsi="Times New Roman" w:eastAsia="仿宋_GB2312"/>
                <w:sz w:val="20"/>
                <w:szCs w:val="21"/>
              </w:rPr>
              <w:t>预期性</w:t>
            </w:r>
          </w:p>
        </w:tc>
      </w:tr>
      <w:tr w14:paraId="2EE7D778">
        <w:tblPrEx>
          <w:tblCellMar>
            <w:top w:w="0" w:type="dxa"/>
            <w:left w:w="108" w:type="dxa"/>
            <w:bottom w:w="0" w:type="dxa"/>
            <w:right w:w="108" w:type="dxa"/>
          </w:tblCellMar>
        </w:tblPrEx>
        <w:trPr>
          <w:trHeight w:val="454" w:hRule="exact"/>
          <w:jc w:val="center"/>
        </w:trPr>
        <w:tc>
          <w:tcPr>
            <w:tcW w:w="416" w:type="dxa"/>
            <w:vMerge w:val="restart"/>
            <w:tcBorders>
              <w:top w:val="nil"/>
              <w:left w:val="single" w:color="auto" w:sz="8" w:space="0"/>
              <w:right w:val="single" w:color="000000" w:sz="8" w:space="0"/>
            </w:tcBorders>
            <w:vAlign w:val="center"/>
          </w:tcPr>
          <w:p w14:paraId="3BA9EA44">
            <w:pPr>
              <w:jc w:val="center"/>
              <w:rPr>
                <w:rFonts w:ascii="黑体" w:hAnsi="黑体" w:eastAsia="黑体" w:cs="黑体"/>
                <w:sz w:val="20"/>
                <w:szCs w:val="21"/>
              </w:rPr>
            </w:pPr>
            <w:r>
              <w:rPr>
                <w:rFonts w:hint="eastAsia" w:ascii="黑体" w:hAnsi="黑体" w:eastAsia="黑体" w:cs="黑体"/>
                <w:sz w:val="20"/>
                <w:szCs w:val="21"/>
              </w:rPr>
              <w:t>民生</w:t>
            </w:r>
          </w:p>
          <w:p w14:paraId="3A7BE329">
            <w:pPr>
              <w:jc w:val="center"/>
              <w:rPr>
                <w:rFonts w:ascii="黑体" w:hAnsi="黑体" w:eastAsia="黑体" w:cs="黑体"/>
                <w:sz w:val="20"/>
                <w:szCs w:val="21"/>
              </w:rPr>
            </w:pPr>
            <w:r>
              <w:rPr>
                <w:rFonts w:hint="eastAsia" w:ascii="黑体" w:hAnsi="黑体" w:eastAsia="黑体" w:cs="黑体"/>
                <w:sz w:val="20"/>
                <w:szCs w:val="21"/>
              </w:rPr>
              <w:t>福祉</w:t>
            </w:r>
          </w:p>
        </w:tc>
        <w:tc>
          <w:tcPr>
            <w:tcW w:w="1369" w:type="dxa"/>
            <w:gridSpan w:val="2"/>
            <w:vMerge w:val="restart"/>
            <w:tcBorders>
              <w:top w:val="nil"/>
              <w:left w:val="nil"/>
              <w:right w:val="single" w:color="auto" w:sz="8" w:space="0"/>
            </w:tcBorders>
            <w:vAlign w:val="center"/>
          </w:tcPr>
          <w:p w14:paraId="30613A07">
            <w:pPr>
              <w:adjustRightInd w:val="0"/>
              <w:snapToGrid w:val="0"/>
              <w:jc w:val="left"/>
              <w:rPr>
                <w:rFonts w:ascii="Times New Roman" w:hAnsi="Times New Roman" w:eastAsia="仿宋_GB2312"/>
                <w:sz w:val="20"/>
                <w:szCs w:val="21"/>
              </w:rPr>
            </w:pPr>
            <w:r>
              <w:rPr>
                <w:rFonts w:hint="eastAsia" w:ascii="Times New Roman" w:hAnsi="Times New Roman" w:eastAsia="仿宋_GB2312"/>
                <w:sz w:val="20"/>
                <w:szCs w:val="21"/>
              </w:rPr>
              <w:t>16.居民人均可支配收入增长（</w:t>
            </w:r>
            <w:r>
              <w:rPr>
                <w:rFonts w:ascii="Times New Roman" w:hAnsi="Times New Roman" w:eastAsia="仿宋_GB2312"/>
                <w:sz w:val="20"/>
                <w:szCs w:val="21"/>
              </w:rPr>
              <w:t>%</w:t>
            </w:r>
            <w:r>
              <w:rPr>
                <w:rFonts w:hint="eastAsia" w:ascii="Times New Roman" w:hAnsi="Times New Roman" w:eastAsia="仿宋_GB2312"/>
                <w:sz w:val="20"/>
                <w:szCs w:val="21"/>
              </w:rPr>
              <w:t>）</w:t>
            </w:r>
          </w:p>
        </w:tc>
        <w:tc>
          <w:tcPr>
            <w:tcW w:w="3233" w:type="dxa"/>
            <w:tcBorders>
              <w:top w:val="nil"/>
              <w:left w:val="nil"/>
              <w:bottom w:val="single" w:color="000000" w:sz="8" w:space="0"/>
              <w:right w:val="single" w:color="auto" w:sz="8" w:space="0"/>
            </w:tcBorders>
            <w:vAlign w:val="center"/>
          </w:tcPr>
          <w:p w14:paraId="1B51CF87">
            <w:pPr>
              <w:adjustRightInd w:val="0"/>
              <w:snapToGrid w:val="0"/>
              <w:jc w:val="left"/>
              <w:rPr>
                <w:rFonts w:ascii="Times New Roman" w:hAnsi="Times New Roman" w:eastAsia="仿宋_GB2312"/>
                <w:sz w:val="20"/>
              </w:rPr>
            </w:pPr>
            <w:r>
              <w:rPr>
                <w:rFonts w:hint="eastAsia" w:ascii="Times New Roman" w:hAnsi="Times New Roman" w:eastAsia="仿宋_GB2312"/>
                <w:sz w:val="20"/>
                <w:szCs w:val="21"/>
              </w:rPr>
              <w:t>城镇居民人均可支配收入增长（%）</w:t>
            </w:r>
          </w:p>
        </w:tc>
        <w:tc>
          <w:tcPr>
            <w:tcW w:w="1134" w:type="dxa"/>
            <w:tcBorders>
              <w:top w:val="single" w:color="auto" w:sz="8" w:space="0"/>
              <w:left w:val="single" w:color="auto" w:sz="8" w:space="0"/>
              <w:bottom w:val="single" w:color="auto" w:sz="8" w:space="0"/>
              <w:right w:val="single" w:color="auto" w:sz="8" w:space="0"/>
            </w:tcBorders>
            <w:vAlign w:val="center"/>
          </w:tcPr>
          <w:p w14:paraId="1D66BB5D">
            <w:pPr>
              <w:adjustRightInd w:val="0"/>
              <w:snapToGrid w:val="0"/>
              <w:jc w:val="center"/>
              <w:rPr>
                <w:rFonts w:hint="default" w:ascii="Times New Roman" w:hAnsi="Times New Roman" w:eastAsia="仿宋_GB2312"/>
                <w:sz w:val="20"/>
                <w:lang w:val="en-US" w:eastAsia="zh-CN"/>
              </w:rPr>
            </w:pPr>
            <w:r>
              <w:rPr>
                <w:rFonts w:hint="eastAsia" w:ascii="Times New Roman" w:hAnsi="Times New Roman" w:eastAsia="仿宋_GB2312"/>
                <w:sz w:val="20"/>
              </w:rPr>
              <w:t>5</w:t>
            </w:r>
            <w:r>
              <w:rPr>
                <w:rFonts w:hint="eastAsia" w:ascii="Times New Roman" w:hAnsi="Times New Roman" w:eastAsia="仿宋_GB2312"/>
                <w:sz w:val="20"/>
                <w:lang w:val="en-US" w:eastAsia="zh-CN"/>
              </w:rPr>
              <w:t>.6</w:t>
            </w:r>
          </w:p>
        </w:tc>
        <w:tc>
          <w:tcPr>
            <w:tcW w:w="1134" w:type="dxa"/>
            <w:tcBorders>
              <w:top w:val="single" w:color="auto" w:sz="8" w:space="0"/>
              <w:left w:val="single" w:color="auto" w:sz="8" w:space="0"/>
              <w:bottom w:val="single" w:color="auto" w:sz="8" w:space="0"/>
              <w:right w:val="single" w:color="auto" w:sz="8" w:space="0"/>
            </w:tcBorders>
            <w:vAlign w:val="center"/>
          </w:tcPr>
          <w:p w14:paraId="0215D2D8">
            <w:pPr>
              <w:adjustRightInd w:val="0"/>
              <w:snapToGrid w:val="0"/>
              <w:jc w:val="center"/>
              <w:rPr>
                <w:rFonts w:ascii="Times New Roman" w:hAnsi="Times New Roman" w:eastAsia="仿宋_GB2312"/>
                <w:sz w:val="20"/>
              </w:rPr>
            </w:pPr>
            <w:r>
              <w:rPr>
                <w:rFonts w:hint="eastAsia" w:ascii="Times New Roman" w:hAnsi="Times New Roman" w:eastAsia="仿宋_GB2312"/>
                <w:sz w:val="20"/>
                <w:szCs w:val="21"/>
              </w:rPr>
              <w:t>—</w:t>
            </w:r>
          </w:p>
        </w:tc>
        <w:tc>
          <w:tcPr>
            <w:tcW w:w="821" w:type="dxa"/>
            <w:tcBorders>
              <w:top w:val="single" w:color="auto" w:sz="8" w:space="0"/>
              <w:left w:val="single" w:color="auto" w:sz="8" w:space="0"/>
              <w:bottom w:val="single" w:color="auto" w:sz="8" w:space="0"/>
              <w:right w:val="single" w:color="auto" w:sz="8" w:space="0"/>
            </w:tcBorders>
            <w:vAlign w:val="center"/>
          </w:tcPr>
          <w:p w14:paraId="04237C1C">
            <w:pPr>
              <w:jc w:val="center"/>
              <w:rPr>
                <w:rFonts w:hint="default" w:ascii="Times New Roman" w:hAnsi="Times New Roman" w:eastAsia="仿宋_GB2312"/>
                <w:sz w:val="20"/>
                <w:szCs w:val="22"/>
                <w:lang w:val="en-US" w:eastAsia="zh-CN"/>
              </w:rPr>
            </w:pPr>
            <w:r>
              <w:rPr>
                <w:rFonts w:hint="eastAsia" w:ascii="Times New Roman" w:hAnsi="Times New Roman" w:eastAsia="仿宋_GB2312"/>
                <w:sz w:val="20"/>
                <w:szCs w:val="21"/>
                <w:lang w:val="en-US" w:eastAsia="zh-CN"/>
              </w:rPr>
              <w:t>8.5</w:t>
            </w:r>
          </w:p>
        </w:tc>
        <w:tc>
          <w:tcPr>
            <w:tcW w:w="879" w:type="dxa"/>
            <w:tcBorders>
              <w:top w:val="single" w:color="auto" w:sz="8" w:space="0"/>
              <w:left w:val="single" w:color="auto" w:sz="8" w:space="0"/>
              <w:bottom w:val="single" w:color="auto" w:sz="8" w:space="0"/>
              <w:right w:val="single" w:color="auto" w:sz="8" w:space="0"/>
            </w:tcBorders>
            <w:vAlign w:val="center"/>
          </w:tcPr>
          <w:p w14:paraId="7219571E">
            <w:pPr>
              <w:jc w:val="center"/>
              <w:rPr>
                <w:rFonts w:ascii="Times New Roman" w:hAnsi="Times New Roman" w:eastAsia="仿宋_GB2312"/>
                <w:sz w:val="20"/>
                <w:szCs w:val="21"/>
              </w:rPr>
            </w:pPr>
            <w:r>
              <w:rPr>
                <w:rFonts w:hint="eastAsia" w:ascii="Times New Roman" w:hAnsi="Times New Roman" w:eastAsia="仿宋_GB2312"/>
                <w:sz w:val="20"/>
                <w:szCs w:val="21"/>
              </w:rPr>
              <w:t>预期性</w:t>
            </w:r>
          </w:p>
        </w:tc>
      </w:tr>
      <w:tr w14:paraId="567B6B72">
        <w:tblPrEx>
          <w:tblCellMar>
            <w:top w:w="0" w:type="dxa"/>
            <w:left w:w="108" w:type="dxa"/>
            <w:bottom w:w="0" w:type="dxa"/>
            <w:right w:w="108" w:type="dxa"/>
          </w:tblCellMar>
        </w:tblPrEx>
        <w:trPr>
          <w:trHeight w:val="454" w:hRule="exact"/>
          <w:jc w:val="center"/>
        </w:trPr>
        <w:tc>
          <w:tcPr>
            <w:tcW w:w="416" w:type="dxa"/>
            <w:vMerge w:val="continue"/>
            <w:tcBorders>
              <w:top w:val="nil"/>
              <w:left w:val="single" w:color="auto" w:sz="8" w:space="0"/>
              <w:right w:val="single" w:color="000000" w:sz="8" w:space="0"/>
            </w:tcBorders>
            <w:vAlign w:val="center"/>
          </w:tcPr>
          <w:p w14:paraId="578E86C8">
            <w:pPr>
              <w:jc w:val="center"/>
              <w:rPr>
                <w:rFonts w:ascii="黑体" w:hAnsi="黑体" w:eastAsia="黑体" w:cs="黑体"/>
                <w:sz w:val="20"/>
                <w:szCs w:val="21"/>
              </w:rPr>
            </w:pPr>
          </w:p>
        </w:tc>
        <w:tc>
          <w:tcPr>
            <w:tcW w:w="1369" w:type="dxa"/>
            <w:gridSpan w:val="2"/>
            <w:vMerge w:val="continue"/>
            <w:tcBorders>
              <w:left w:val="nil"/>
              <w:bottom w:val="single" w:color="000000" w:sz="8" w:space="0"/>
              <w:right w:val="single" w:color="auto" w:sz="8" w:space="0"/>
            </w:tcBorders>
            <w:vAlign w:val="center"/>
          </w:tcPr>
          <w:p w14:paraId="08F78893">
            <w:pPr>
              <w:adjustRightInd w:val="0"/>
              <w:snapToGrid w:val="0"/>
              <w:jc w:val="left"/>
              <w:rPr>
                <w:rFonts w:ascii="Times New Roman" w:hAnsi="Times New Roman" w:eastAsia="仿宋_GB2312"/>
                <w:sz w:val="20"/>
                <w:szCs w:val="21"/>
              </w:rPr>
            </w:pPr>
          </w:p>
        </w:tc>
        <w:tc>
          <w:tcPr>
            <w:tcW w:w="3233" w:type="dxa"/>
            <w:tcBorders>
              <w:top w:val="nil"/>
              <w:left w:val="nil"/>
              <w:bottom w:val="single" w:color="000000" w:sz="8" w:space="0"/>
              <w:right w:val="single" w:color="auto" w:sz="8" w:space="0"/>
            </w:tcBorders>
            <w:vAlign w:val="center"/>
          </w:tcPr>
          <w:p w14:paraId="0B58D9C0">
            <w:pPr>
              <w:adjustRightInd w:val="0"/>
              <w:snapToGrid w:val="0"/>
              <w:jc w:val="left"/>
              <w:rPr>
                <w:rFonts w:ascii="Times New Roman" w:hAnsi="Times New Roman" w:eastAsia="仿宋_GB2312"/>
                <w:sz w:val="20"/>
                <w:szCs w:val="21"/>
              </w:rPr>
            </w:pPr>
            <w:r>
              <w:rPr>
                <w:rFonts w:hint="eastAsia" w:ascii="Times New Roman" w:hAnsi="Times New Roman" w:eastAsia="仿宋_GB2312"/>
                <w:sz w:val="20"/>
                <w:szCs w:val="21"/>
              </w:rPr>
              <w:t>农村居民人均可支配收入增长（%）</w:t>
            </w:r>
          </w:p>
        </w:tc>
        <w:tc>
          <w:tcPr>
            <w:tcW w:w="1134" w:type="dxa"/>
            <w:tcBorders>
              <w:top w:val="single" w:color="auto" w:sz="8" w:space="0"/>
              <w:left w:val="single" w:color="auto" w:sz="8" w:space="0"/>
              <w:bottom w:val="single" w:color="auto" w:sz="8" w:space="0"/>
              <w:right w:val="single" w:color="auto" w:sz="8" w:space="0"/>
            </w:tcBorders>
            <w:vAlign w:val="center"/>
          </w:tcPr>
          <w:p w14:paraId="61EEA829">
            <w:pPr>
              <w:adjustRightInd w:val="0"/>
              <w:snapToGrid w:val="0"/>
              <w:jc w:val="center"/>
              <w:rPr>
                <w:rFonts w:hint="default" w:ascii="Times New Roman" w:hAnsi="Times New Roman" w:eastAsia="仿宋_GB2312"/>
                <w:sz w:val="20"/>
                <w:lang w:val="en-US" w:eastAsia="zh-CN"/>
              </w:rPr>
            </w:pPr>
            <w:r>
              <w:rPr>
                <w:rFonts w:hint="eastAsia" w:ascii="Times New Roman" w:hAnsi="Times New Roman" w:eastAsia="仿宋_GB2312"/>
                <w:sz w:val="20"/>
                <w:lang w:val="en-US" w:eastAsia="zh-CN"/>
              </w:rPr>
              <w:t>8.5</w:t>
            </w:r>
          </w:p>
        </w:tc>
        <w:tc>
          <w:tcPr>
            <w:tcW w:w="1134" w:type="dxa"/>
            <w:tcBorders>
              <w:top w:val="single" w:color="auto" w:sz="8" w:space="0"/>
              <w:left w:val="single" w:color="auto" w:sz="8" w:space="0"/>
              <w:bottom w:val="single" w:color="auto" w:sz="8" w:space="0"/>
              <w:right w:val="single" w:color="auto" w:sz="8" w:space="0"/>
            </w:tcBorders>
            <w:vAlign w:val="center"/>
          </w:tcPr>
          <w:p w14:paraId="3624098E">
            <w:pPr>
              <w:adjustRightInd w:val="0"/>
              <w:snapToGrid w:val="0"/>
              <w:jc w:val="center"/>
              <w:rPr>
                <w:rFonts w:ascii="Times New Roman" w:hAnsi="Times New Roman" w:eastAsia="仿宋_GB2312"/>
                <w:sz w:val="20"/>
              </w:rPr>
            </w:pPr>
            <w:r>
              <w:rPr>
                <w:rFonts w:hint="eastAsia" w:ascii="Times New Roman" w:hAnsi="Times New Roman" w:eastAsia="仿宋_GB2312"/>
                <w:sz w:val="20"/>
                <w:szCs w:val="21"/>
              </w:rPr>
              <w:t>—</w:t>
            </w:r>
          </w:p>
        </w:tc>
        <w:tc>
          <w:tcPr>
            <w:tcW w:w="821" w:type="dxa"/>
            <w:tcBorders>
              <w:top w:val="single" w:color="auto" w:sz="8" w:space="0"/>
              <w:left w:val="single" w:color="auto" w:sz="8" w:space="0"/>
              <w:bottom w:val="single" w:color="auto" w:sz="8" w:space="0"/>
              <w:right w:val="single" w:color="auto" w:sz="8" w:space="0"/>
            </w:tcBorders>
            <w:vAlign w:val="center"/>
          </w:tcPr>
          <w:p w14:paraId="38C4EB43">
            <w:pPr>
              <w:jc w:val="center"/>
              <w:rPr>
                <w:rFonts w:hint="default" w:ascii="Times New Roman" w:hAnsi="Times New Roman" w:eastAsia="仿宋_GB2312"/>
                <w:sz w:val="20"/>
                <w:szCs w:val="22"/>
                <w:lang w:val="en-US" w:eastAsia="zh-CN"/>
              </w:rPr>
            </w:pPr>
            <w:r>
              <w:rPr>
                <w:rFonts w:hint="eastAsia" w:ascii="Times New Roman" w:hAnsi="Times New Roman" w:eastAsia="仿宋_GB2312"/>
                <w:sz w:val="20"/>
                <w:szCs w:val="21"/>
                <w:lang w:val="en-US" w:eastAsia="zh-CN"/>
              </w:rPr>
              <w:t>9.5</w:t>
            </w:r>
          </w:p>
        </w:tc>
        <w:tc>
          <w:tcPr>
            <w:tcW w:w="879" w:type="dxa"/>
            <w:tcBorders>
              <w:top w:val="single" w:color="auto" w:sz="8" w:space="0"/>
              <w:left w:val="single" w:color="auto" w:sz="8" w:space="0"/>
              <w:bottom w:val="single" w:color="auto" w:sz="8" w:space="0"/>
              <w:right w:val="single" w:color="auto" w:sz="8" w:space="0"/>
            </w:tcBorders>
            <w:vAlign w:val="center"/>
          </w:tcPr>
          <w:p w14:paraId="3E90DC3C">
            <w:pPr>
              <w:jc w:val="center"/>
              <w:rPr>
                <w:rFonts w:ascii="Times New Roman" w:hAnsi="Times New Roman" w:eastAsia="仿宋_GB2312"/>
                <w:sz w:val="20"/>
                <w:szCs w:val="21"/>
              </w:rPr>
            </w:pPr>
            <w:r>
              <w:rPr>
                <w:rFonts w:hint="eastAsia" w:ascii="Times New Roman" w:hAnsi="Times New Roman" w:eastAsia="仿宋_GB2312"/>
                <w:sz w:val="20"/>
                <w:szCs w:val="21"/>
              </w:rPr>
              <w:t>预期性</w:t>
            </w:r>
          </w:p>
        </w:tc>
      </w:tr>
      <w:tr w14:paraId="1C20DA3A">
        <w:tblPrEx>
          <w:tblCellMar>
            <w:top w:w="0" w:type="dxa"/>
            <w:left w:w="108" w:type="dxa"/>
            <w:bottom w:w="0" w:type="dxa"/>
            <w:right w:w="108" w:type="dxa"/>
          </w:tblCellMar>
        </w:tblPrEx>
        <w:trPr>
          <w:trHeight w:val="574" w:hRule="exact"/>
          <w:jc w:val="center"/>
        </w:trPr>
        <w:tc>
          <w:tcPr>
            <w:tcW w:w="416" w:type="dxa"/>
            <w:vMerge w:val="continue"/>
            <w:tcBorders>
              <w:top w:val="nil"/>
              <w:left w:val="single" w:color="auto" w:sz="8" w:space="0"/>
              <w:right w:val="single" w:color="000000" w:sz="8" w:space="0"/>
            </w:tcBorders>
            <w:vAlign w:val="center"/>
          </w:tcPr>
          <w:p w14:paraId="771D9B27">
            <w:pPr>
              <w:jc w:val="center"/>
              <w:rPr>
                <w:rFonts w:ascii="黑体" w:hAnsi="黑体" w:eastAsia="黑体" w:cs="黑体"/>
                <w:sz w:val="20"/>
                <w:szCs w:val="21"/>
              </w:rPr>
            </w:pPr>
          </w:p>
        </w:tc>
        <w:tc>
          <w:tcPr>
            <w:tcW w:w="4602" w:type="dxa"/>
            <w:gridSpan w:val="3"/>
            <w:tcBorders>
              <w:top w:val="nil"/>
              <w:left w:val="nil"/>
              <w:bottom w:val="single" w:color="000000" w:sz="8" w:space="0"/>
              <w:right w:val="single" w:color="auto" w:sz="8" w:space="0"/>
            </w:tcBorders>
            <w:vAlign w:val="center"/>
          </w:tcPr>
          <w:p w14:paraId="154A1003">
            <w:pPr>
              <w:adjustRightInd w:val="0"/>
              <w:snapToGrid w:val="0"/>
              <w:jc w:val="left"/>
              <w:rPr>
                <w:rFonts w:ascii="Times New Roman" w:hAnsi="Times New Roman" w:eastAsia="仿宋_GB2312"/>
                <w:sz w:val="20"/>
                <w:szCs w:val="21"/>
              </w:rPr>
            </w:pPr>
            <w:r>
              <w:rPr>
                <w:rFonts w:hint="eastAsia" w:ascii="Times New Roman" w:hAnsi="Times New Roman" w:eastAsia="仿宋_GB2312"/>
                <w:sz w:val="20"/>
                <w:szCs w:val="21"/>
              </w:rPr>
              <w:t>17.城镇调查失业率（%）</w:t>
            </w:r>
          </w:p>
        </w:tc>
        <w:tc>
          <w:tcPr>
            <w:tcW w:w="1134" w:type="dxa"/>
            <w:tcBorders>
              <w:top w:val="single" w:color="auto" w:sz="8" w:space="0"/>
              <w:left w:val="single" w:color="auto" w:sz="8" w:space="0"/>
              <w:bottom w:val="single" w:color="auto" w:sz="8" w:space="0"/>
              <w:right w:val="single" w:color="auto" w:sz="8" w:space="0"/>
            </w:tcBorders>
            <w:vAlign w:val="center"/>
          </w:tcPr>
          <w:p w14:paraId="7ADB2B26">
            <w:pPr>
              <w:adjustRightInd w:val="0"/>
              <w:snapToGrid w:val="0"/>
              <w:jc w:val="center"/>
              <w:rPr>
                <w:rFonts w:hint="eastAsia" w:ascii="Times New Roman" w:hAnsi="Times New Roman" w:eastAsia="仿宋_GB2312"/>
                <w:sz w:val="20"/>
                <w:lang w:eastAsia="zh-CN"/>
              </w:rPr>
            </w:pPr>
            <w:r>
              <w:rPr>
                <w:rFonts w:hint="eastAsia" w:ascii="Times New Roman" w:hAnsi="Times New Roman" w:eastAsia="仿宋_GB2312"/>
                <w:sz w:val="20"/>
                <w:szCs w:val="21"/>
                <w:lang w:val="en-US" w:eastAsia="zh-CN"/>
              </w:rPr>
              <w:t>5</w:t>
            </w:r>
          </w:p>
        </w:tc>
        <w:tc>
          <w:tcPr>
            <w:tcW w:w="1134" w:type="dxa"/>
            <w:tcBorders>
              <w:top w:val="single" w:color="auto" w:sz="8" w:space="0"/>
              <w:left w:val="single" w:color="auto" w:sz="8" w:space="0"/>
              <w:bottom w:val="single" w:color="auto" w:sz="8" w:space="0"/>
              <w:right w:val="single" w:color="auto" w:sz="8" w:space="0"/>
            </w:tcBorders>
            <w:vAlign w:val="center"/>
          </w:tcPr>
          <w:p w14:paraId="3FCDD95A">
            <w:pPr>
              <w:adjustRightInd w:val="0"/>
              <w:snapToGrid w:val="0"/>
              <w:jc w:val="center"/>
              <w:rPr>
                <w:rFonts w:hint="default" w:ascii="Times New Roman" w:hAnsi="Times New Roman" w:eastAsia="仿宋_GB2312"/>
                <w:sz w:val="20"/>
                <w:lang w:val="en-US" w:eastAsia="zh-CN"/>
              </w:rPr>
            </w:pPr>
            <w:r>
              <w:rPr>
                <w:rFonts w:hint="eastAsia" w:ascii="Times New Roman" w:hAnsi="Times New Roman" w:eastAsia="仿宋_GB2312"/>
                <w:sz w:val="20"/>
                <w:szCs w:val="21"/>
                <w:lang w:val="en-US" w:eastAsia="zh-CN"/>
              </w:rPr>
              <w:t>5.5</w:t>
            </w:r>
          </w:p>
        </w:tc>
        <w:tc>
          <w:tcPr>
            <w:tcW w:w="821" w:type="dxa"/>
            <w:tcBorders>
              <w:top w:val="single" w:color="auto" w:sz="8" w:space="0"/>
              <w:left w:val="single" w:color="auto" w:sz="8" w:space="0"/>
              <w:bottom w:val="single" w:color="auto" w:sz="8" w:space="0"/>
              <w:right w:val="single" w:color="auto" w:sz="8" w:space="0"/>
            </w:tcBorders>
            <w:vAlign w:val="center"/>
          </w:tcPr>
          <w:p w14:paraId="36B77234">
            <w:pPr>
              <w:adjustRightInd w:val="0"/>
              <w:snapToGrid w:val="0"/>
              <w:jc w:val="center"/>
              <w:rPr>
                <w:rFonts w:hint="eastAsia" w:ascii="Times New Roman" w:hAnsi="Times New Roman" w:eastAsia="仿宋_GB2312"/>
                <w:sz w:val="20"/>
                <w:szCs w:val="22"/>
              </w:rPr>
            </w:pPr>
            <w:r>
              <w:rPr>
                <w:rFonts w:hint="eastAsia" w:ascii="Times New Roman" w:hAnsi="Times New Roman" w:eastAsia="仿宋_GB2312"/>
                <w:sz w:val="20"/>
                <w:szCs w:val="22"/>
              </w:rPr>
              <w:t>低于</w:t>
            </w:r>
          </w:p>
          <w:p w14:paraId="0EA0987B">
            <w:pPr>
              <w:adjustRightInd w:val="0"/>
              <w:snapToGrid w:val="0"/>
              <w:jc w:val="center"/>
              <w:rPr>
                <w:rFonts w:ascii="Times New Roman" w:hAnsi="Times New Roman" w:eastAsia="仿宋_GB2312"/>
                <w:sz w:val="20"/>
                <w:szCs w:val="22"/>
              </w:rPr>
            </w:pPr>
            <w:r>
              <w:rPr>
                <w:rFonts w:hint="eastAsia" w:ascii="Times New Roman" w:hAnsi="Times New Roman" w:eastAsia="仿宋_GB2312"/>
                <w:sz w:val="20"/>
                <w:szCs w:val="22"/>
              </w:rPr>
              <w:t>全省</w:t>
            </w:r>
          </w:p>
        </w:tc>
        <w:tc>
          <w:tcPr>
            <w:tcW w:w="879" w:type="dxa"/>
            <w:tcBorders>
              <w:top w:val="single" w:color="auto" w:sz="8" w:space="0"/>
              <w:left w:val="single" w:color="auto" w:sz="8" w:space="0"/>
              <w:bottom w:val="single" w:color="auto" w:sz="8" w:space="0"/>
              <w:right w:val="single" w:color="auto" w:sz="8" w:space="0"/>
            </w:tcBorders>
            <w:vAlign w:val="center"/>
          </w:tcPr>
          <w:p w14:paraId="0973C3D0">
            <w:pPr>
              <w:jc w:val="center"/>
              <w:rPr>
                <w:rFonts w:ascii="Times New Roman" w:hAnsi="Times New Roman" w:eastAsia="仿宋_GB2312"/>
                <w:sz w:val="20"/>
                <w:szCs w:val="21"/>
              </w:rPr>
            </w:pPr>
            <w:r>
              <w:rPr>
                <w:rFonts w:hint="eastAsia" w:ascii="Times New Roman" w:hAnsi="Times New Roman" w:eastAsia="仿宋_GB2312"/>
                <w:sz w:val="20"/>
                <w:szCs w:val="21"/>
              </w:rPr>
              <w:t>预期性</w:t>
            </w:r>
          </w:p>
        </w:tc>
      </w:tr>
      <w:tr w14:paraId="6241008C">
        <w:tblPrEx>
          <w:tblCellMar>
            <w:top w:w="0" w:type="dxa"/>
            <w:left w:w="108" w:type="dxa"/>
            <w:bottom w:w="0" w:type="dxa"/>
            <w:right w:w="108" w:type="dxa"/>
          </w:tblCellMar>
        </w:tblPrEx>
        <w:trPr>
          <w:trHeight w:val="454" w:hRule="exact"/>
          <w:jc w:val="center"/>
        </w:trPr>
        <w:tc>
          <w:tcPr>
            <w:tcW w:w="416" w:type="dxa"/>
            <w:vMerge w:val="continue"/>
            <w:tcBorders>
              <w:top w:val="nil"/>
              <w:left w:val="single" w:color="auto" w:sz="8" w:space="0"/>
              <w:right w:val="single" w:color="000000" w:sz="8" w:space="0"/>
            </w:tcBorders>
            <w:vAlign w:val="center"/>
          </w:tcPr>
          <w:p w14:paraId="75CBF033">
            <w:pPr>
              <w:jc w:val="center"/>
              <w:rPr>
                <w:rFonts w:ascii="黑体" w:hAnsi="黑体" w:eastAsia="黑体" w:cs="黑体"/>
                <w:sz w:val="20"/>
                <w:szCs w:val="21"/>
              </w:rPr>
            </w:pPr>
          </w:p>
        </w:tc>
        <w:tc>
          <w:tcPr>
            <w:tcW w:w="4602" w:type="dxa"/>
            <w:gridSpan w:val="3"/>
            <w:tcBorders>
              <w:top w:val="nil"/>
              <w:left w:val="nil"/>
              <w:bottom w:val="single" w:color="000000" w:sz="8" w:space="0"/>
              <w:right w:val="single" w:color="auto" w:sz="8" w:space="0"/>
            </w:tcBorders>
            <w:vAlign w:val="center"/>
          </w:tcPr>
          <w:p w14:paraId="70067858">
            <w:pPr>
              <w:adjustRightInd w:val="0"/>
              <w:snapToGrid w:val="0"/>
              <w:jc w:val="left"/>
              <w:rPr>
                <w:rFonts w:ascii="Times New Roman" w:hAnsi="Times New Roman" w:eastAsia="仿宋_GB2312"/>
                <w:sz w:val="20"/>
                <w:szCs w:val="21"/>
              </w:rPr>
            </w:pPr>
            <w:r>
              <w:rPr>
                <w:rFonts w:hint="eastAsia" w:ascii="Times New Roman" w:hAnsi="Times New Roman" w:eastAsia="仿宋_GB2312"/>
                <w:sz w:val="20"/>
                <w:szCs w:val="21"/>
              </w:rPr>
              <w:t>18.劳动年龄人口平均受教育年限（年）</w:t>
            </w:r>
          </w:p>
        </w:tc>
        <w:tc>
          <w:tcPr>
            <w:tcW w:w="1134" w:type="dxa"/>
            <w:tcBorders>
              <w:top w:val="single" w:color="auto" w:sz="8" w:space="0"/>
              <w:left w:val="single" w:color="auto" w:sz="8" w:space="0"/>
              <w:bottom w:val="single" w:color="auto" w:sz="8" w:space="0"/>
              <w:right w:val="single" w:color="auto" w:sz="8" w:space="0"/>
            </w:tcBorders>
            <w:vAlign w:val="center"/>
          </w:tcPr>
          <w:p w14:paraId="1B20EEA7">
            <w:pPr>
              <w:adjustRightInd w:val="0"/>
              <w:snapToGrid w:val="0"/>
              <w:jc w:val="center"/>
              <w:rPr>
                <w:rFonts w:ascii="Times New Roman" w:hAnsi="Times New Roman" w:eastAsia="仿宋_GB2312"/>
                <w:sz w:val="20"/>
              </w:rPr>
            </w:pPr>
            <w:r>
              <w:rPr>
                <w:rFonts w:ascii="Times New Roman" w:hAnsi="Times New Roman" w:eastAsia="仿宋_GB2312"/>
                <w:sz w:val="20"/>
              </w:rPr>
              <w:t>10.4</w:t>
            </w:r>
          </w:p>
        </w:tc>
        <w:tc>
          <w:tcPr>
            <w:tcW w:w="1134" w:type="dxa"/>
            <w:tcBorders>
              <w:top w:val="single" w:color="auto" w:sz="8" w:space="0"/>
              <w:left w:val="single" w:color="auto" w:sz="8" w:space="0"/>
              <w:bottom w:val="single" w:color="auto" w:sz="8" w:space="0"/>
              <w:right w:val="single" w:color="auto" w:sz="8" w:space="0"/>
            </w:tcBorders>
            <w:vAlign w:val="center"/>
          </w:tcPr>
          <w:p w14:paraId="33B810A0">
            <w:pPr>
              <w:adjustRightInd w:val="0"/>
              <w:snapToGrid w:val="0"/>
              <w:jc w:val="center"/>
              <w:rPr>
                <w:rFonts w:ascii="Times New Roman" w:hAnsi="Times New Roman" w:eastAsia="仿宋_GB2312"/>
                <w:sz w:val="20"/>
              </w:rPr>
            </w:pPr>
            <w:r>
              <w:rPr>
                <w:rFonts w:ascii="Times New Roman" w:hAnsi="Times New Roman" w:eastAsia="仿宋_GB2312"/>
                <w:sz w:val="20"/>
              </w:rPr>
              <w:t>11.5</w:t>
            </w:r>
          </w:p>
        </w:tc>
        <w:tc>
          <w:tcPr>
            <w:tcW w:w="821" w:type="dxa"/>
            <w:tcBorders>
              <w:top w:val="single" w:color="auto" w:sz="8" w:space="0"/>
              <w:left w:val="single" w:color="auto" w:sz="8" w:space="0"/>
              <w:bottom w:val="single" w:color="auto" w:sz="8" w:space="0"/>
              <w:right w:val="single" w:color="auto" w:sz="8" w:space="0"/>
            </w:tcBorders>
            <w:vAlign w:val="center"/>
          </w:tcPr>
          <w:p w14:paraId="403FBBE0">
            <w:pPr>
              <w:adjustRightInd w:val="0"/>
              <w:snapToGrid w:val="0"/>
              <w:jc w:val="center"/>
              <w:rPr>
                <w:rFonts w:ascii="Times New Roman" w:hAnsi="Times New Roman" w:eastAsia="仿宋_GB2312"/>
                <w:sz w:val="20"/>
                <w:szCs w:val="22"/>
              </w:rPr>
            </w:pPr>
            <w:r>
              <w:rPr>
                <w:rFonts w:hint="eastAsia" w:ascii="Times New Roman" w:hAnsi="Times New Roman" w:eastAsia="仿宋_GB2312"/>
                <w:sz w:val="20"/>
                <w:szCs w:val="21"/>
              </w:rPr>
              <w:t>—</w:t>
            </w:r>
          </w:p>
        </w:tc>
        <w:tc>
          <w:tcPr>
            <w:tcW w:w="879" w:type="dxa"/>
            <w:tcBorders>
              <w:top w:val="single" w:color="auto" w:sz="8" w:space="0"/>
              <w:left w:val="single" w:color="auto" w:sz="8" w:space="0"/>
              <w:bottom w:val="single" w:color="auto" w:sz="8" w:space="0"/>
              <w:right w:val="single" w:color="auto" w:sz="8" w:space="0"/>
            </w:tcBorders>
            <w:vAlign w:val="center"/>
          </w:tcPr>
          <w:p w14:paraId="3086A695">
            <w:pPr>
              <w:jc w:val="center"/>
              <w:rPr>
                <w:rFonts w:ascii="Times New Roman" w:hAnsi="Times New Roman" w:eastAsia="仿宋_GB2312"/>
                <w:sz w:val="20"/>
                <w:szCs w:val="21"/>
              </w:rPr>
            </w:pPr>
            <w:r>
              <w:rPr>
                <w:rFonts w:hint="eastAsia" w:ascii="Times New Roman" w:hAnsi="Times New Roman" w:eastAsia="仿宋_GB2312"/>
                <w:sz w:val="20"/>
                <w:szCs w:val="21"/>
              </w:rPr>
              <w:t>约束性</w:t>
            </w:r>
          </w:p>
        </w:tc>
      </w:tr>
      <w:tr w14:paraId="7AFB4F67">
        <w:tblPrEx>
          <w:tblCellMar>
            <w:top w:w="0" w:type="dxa"/>
            <w:left w:w="108" w:type="dxa"/>
            <w:bottom w:w="0" w:type="dxa"/>
            <w:right w:w="108" w:type="dxa"/>
          </w:tblCellMar>
        </w:tblPrEx>
        <w:trPr>
          <w:trHeight w:val="454" w:hRule="exact"/>
          <w:jc w:val="center"/>
        </w:trPr>
        <w:tc>
          <w:tcPr>
            <w:tcW w:w="416" w:type="dxa"/>
            <w:vMerge w:val="continue"/>
            <w:tcBorders>
              <w:top w:val="nil"/>
              <w:left w:val="single" w:color="auto" w:sz="8" w:space="0"/>
              <w:right w:val="single" w:color="000000" w:sz="8" w:space="0"/>
            </w:tcBorders>
            <w:vAlign w:val="center"/>
          </w:tcPr>
          <w:p w14:paraId="43A66DC1">
            <w:pPr>
              <w:jc w:val="center"/>
              <w:rPr>
                <w:rFonts w:ascii="黑体" w:hAnsi="黑体" w:eastAsia="黑体" w:cs="黑体"/>
                <w:sz w:val="20"/>
                <w:szCs w:val="21"/>
              </w:rPr>
            </w:pPr>
          </w:p>
        </w:tc>
        <w:tc>
          <w:tcPr>
            <w:tcW w:w="4602" w:type="dxa"/>
            <w:gridSpan w:val="3"/>
            <w:tcBorders>
              <w:top w:val="nil"/>
              <w:left w:val="nil"/>
              <w:bottom w:val="single" w:color="000000" w:sz="8" w:space="0"/>
              <w:right w:val="single" w:color="auto" w:sz="8" w:space="0"/>
            </w:tcBorders>
            <w:vAlign w:val="center"/>
          </w:tcPr>
          <w:p w14:paraId="162DC703">
            <w:pPr>
              <w:adjustRightInd w:val="0"/>
              <w:snapToGrid w:val="0"/>
              <w:jc w:val="left"/>
              <w:rPr>
                <w:rFonts w:ascii="Times New Roman" w:hAnsi="Times New Roman" w:eastAsia="仿宋_GB2312"/>
                <w:sz w:val="20"/>
                <w:szCs w:val="21"/>
              </w:rPr>
            </w:pPr>
            <w:r>
              <w:rPr>
                <w:rFonts w:hint="eastAsia" w:ascii="Times New Roman" w:hAnsi="Times New Roman" w:eastAsia="仿宋_GB2312"/>
                <w:sz w:val="20"/>
                <w:szCs w:val="21"/>
              </w:rPr>
              <w:t>19.每千人口拥有执业（助理）医师数（个）</w:t>
            </w:r>
          </w:p>
        </w:tc>
        <w:tc>
          <w:tcPr>
            <w:tcW w:w="1134" w:type="dxa"/>
            <w:tcBorders>
              <w:top w:val="single" w:color="auto" w:sz="8" w:space="0"/>
              <w:left w:val="single" w:color="auto" w:sz="8" w:space="0"/>
              <w:bottom w:val="single" w:color="auto" w:sz="8" w:space="0"/>
              <w:right w:val="single" w:color="auto" w:sz="8" w:space="0"/>
            </w:tcBorders>
            <w:vAlign w:val="center"/>
          </w:tcPr>
          <w:p w14:paraId="34591F87">
            <w:pPr>
              <w:adjustRightInd w:val="0"/>
              <w:snapToGrid w:val="0"/>
              <w:jc w:val="center"/>
              <w:rPr>
                <w:rFonts w:ascii="Times New Roman" w:hAnsi="Times New Roman" w:eastAsia="仿宋_GB2312"/>
                <w:sz w:val="20"/>
              </w:rPr>
            </w:pPr>
            <w:r>
              <w:rPr>
                <w:rFonts w:hint="eastAsia" w:ascii="Times New Roman" w:hAnsi="Times New Roman" w:eastAsia="仿宋_GB2312"/>
                <w:sz w:val="20"/>
              </w:rPr>
              <w:t>2.52</w:t>
            </w:r>
          </w:p>
        </w:tc>
        <w:tc>
          <w:tcPr>
            <w:tcW w:w="1134" w:type="dxa"/>
            <w:tcBorders>
              <w:top w:val="single" w:color="auto" w:sz="8" w:space="0"/>
              <w:left w:val="single" w:color="auto" w:sz="8" w:space="0"/>
              <w:bottom w:val="single" w:color="auto" w:sz="8" w:space="0"/>
              <w:right w:val="single" w:color="auto" w:sz="8" w:space="0"/>
            </w:tcBorders>
            <w:vAlign w:val="center"/>
          </w:tcPr>
          <w:p w14:paraId="047650DB">
            <w:pPr>
              <w:adjustRightInd w:val="0"/>
              <w:snapToGrid w:val="0"/>
              <w:jc w:val="center"/>
              <w:rPr>
                <w:rFonts w:ascii="Times New Roman" w:hAnsi="Times New Roman" w:eastAsia="仿宋_GB2312"/>
                <w:sz w:val="20"/>
              </w:rPr>
            </w:pPr>
            <w:r>
              <w:rPr>
                <w:rFonts w:hint="eastAsia" w:ascii="Times New Roman" w:hAnsi="Times New Roman" w:eastAsia="仿宋_GB2312"/>
                <w:sz w:val="20"/>
              </w:rPr>
              <w:t>2.81</w:t>
            </w:r>
          </w:p>
        </w:tc>
        <w:tc>
          <w:tcPr>
            <w:tcW w:w="821" w:type="dxa"/>
            <w:tcBorders>
              <w:top w:val="single" w:color="auto" w:sz="8" w:space="0"/>
              <w:left w:val="single" w:color="auto" w:sz="8" w:space="0"/>
              <w:bottom w:val="single" w:color="auto" w:sz="8" w:space="0"/>
              <w:right w:val="single" w:color="auto" w:sz="8" w:space="0"/>
            </w:tcBorders>
            <w:vAlign w:val="center"/>
          </w:tcPr>
          <w:p w14:paraId="2BEF2285">
            <w:pPr>
              <w:jc w:val="center"/>
              <w:rPr>
                <w:rFonts w:ascii="Times New Roman" w:hAnsi="Times New Roman" w:eastAsia="仿宋_GB2312"/>
                <w:sz w:val="20"/>
                <w:szCs w:val="21"/>
              </w:rPr>
            </w:pPr>
            <w:r>
              <w:rPr>
                <w:rFonts w:hint="eastAsia" w:ascii="Times New Roman" w:hAnsi="Times New Roman" w:eastAsia="仿宋_GB2312"/>
                <w:sz w:val="20"/>
                <w:szCs w:val="21"/>
              </w:rPr>
              <w:t>—</w:t>
            </w:r>
          </w:p>
        </w:tc>
        <w:tc>
          <w:tcPr>
            <w:tcW w:w="879" w:type="dxa"/>
            <w:tcBorders>
              <w:top w:val="single" w:color="auto" w:sz="8" w:space="0"/>
              <w:left w:val="single" w:color="auto" w:sz="8" w:space="0"/>
              <w:bottom w:val="single" w:color="auto" w:sz="8" w:space="0"/>
              <w:right w:val="single" w:color="auto" w:sz="8" w:space="0"/>
            </w:tcBorders>
            <w:vAlign w:val="center"/>
          </w:tcPr>
          <w:p w14:paraId="38C329FE">
            <w:pPr>
              <w:jc w:val="center"/>
              <w:rPr>
                <w:rFonts w:ascii="Times New Roman" w:hAnsi="Times New Roman" w:eastAsia="仿宋_GB2312"/>
                <w:sz w:val="20"/>
                <w:szCs w:val="21"/>
              </w:rPr>
            </w:pPr>
            <w:r>
              <w:rPr>
                <w:rFonts w:hint="eastAsia" w:ascii="Times New Roman" w:hAnsi="Times New Roman" w:eastAsia="仿宋_GB2312"/>
                <w:sz w:val="20"/>
                <w:szCs w:val="21"/>
              </w:rPr>
              <w:t>预期性</w:t>
            </w:r>
          </w:p>
        </w:tc>
      </w:tr>
      <w:tr w14:paraId="50BB2A99">
        <w:tblPrEx>
          <w:tblCellMar>
            <w:top w:w="0" w:type="dxa"/>
            <w:left w:w="108" w:type="dxa"/>
            <w:bottom w:w="0" w:type="dxa"/>
            <w:right w:w="108" w:type="dxa"/>
          </w:tblCellMar>
        </w:tblPrEx>
        <w:trPr>
          <w:trHeight w:val="454" w:hRule="exact"/>
          <w:jc w:val="center"/>
        </w:trPr>
        <w:tc>
          <w:tcPr>
            <w:tcW w:w="416" w:type="dxa"/>
            <w:vMerge w:val="continue"/>
            <w:tcBorders>
              <w:top w:val="nil"/>
              <w:left w:val="single" w:color="auto" w:sz="8" w:space="0"/>
              <w:right w:val="single" w:color="000000" w:sz="8" w:space="0"/>
            </w:tcBorders>
            <w:vAlign w:val="center"/>
          </w:tcPr>
          <w:p w14:paraId="7CD605A4">
            <w:pPr>
              <w:jc w:val="center"/>
              <w:rPr>
                <w:rFonts w:ascii="黑体" w:hAnsi="黑体" w:eastAsia="黑体" w:cs="黑体"/>
                <w:sz w:val="20"/>
                <w:szCs w:val="21"/>
              </w:rPr>
            </w:pPr>
          </w:p>
        </w:tc>
        <w:tc>
          <w:tcPr>
            <w:tcW w:w="4602" w:type="dxa"/>
            <w:gridSpan w:val="3"/>
            <w:tcBorders>
              <w:top w:val="nil"/>
              <w:left w:val="nil"/>
              <w:bottom w:val="single" w:color="000000" w:sz="8" w:space="0"/>
              <w:right w:val="single" w:color="auto" w:sz="8" w:space="0"/>
            </w:tcBorders>
            <w:vAlign w:val="center"/>
          </w:tcPr>
          <w:p w14:paraId="2B0D2F91">
            <w:pPr>
              <w:adjustRightInd w:val="0"/>
              <w:snapToGrid w:val="0"/>
              <w:jc w:val="left"/>
              <w:rPr>
                <w:rFonts w:ascii="Times New Roman" w:hAnsi="Times New Roman" w:eastAsia="仿宋_GB2312"/>
                <w:sz w:val="20"/>
                <w:szCs w:val="21"/>
              </w:rPr>
            </w:pPr>
            <w:r>
              <w:rPr>
                <w:rFonts w:hint="eastAsia" w:ascii="Times New Roman" w:hAnsi="Times New Roman" w:eastAsia="仿宋_GB2312"/>
                <w:sz w:val="20"/>
                <w:szCs w:val="21"/>
              </w:rPr>
              <w:t>20.基本养</w:t>
            </w:r>
            <w:r>
              <w:rPr>
                <w:rFonts w:hint="eastAsia" w:ascii="Times New Roman" w:hAnsi="Times New Roman" w:eastAsia="仿宋_GB2312"/>
                <w:sz w:val="20"/>
              </w:rPr>
              <w:t>老保险参保率</w:t>
            </w:r>
          </w:p>
        </w:tc>
        <w:tc>
          <w:tcPr>
            <w:tcW w:w="1134" w:type="dxa"/>
            <w:tcBorders>
              <w:top w:val="single" w:color="auto" w:sz="8" w:space="0"/>
              <w:left w:val="single" w:color="auto" w:sz="8" w:space="0"/>
              <w:bottom w:val="single" w:color="auto" w:sz="8" w:space="0"/>
              <w:right w:val="single" w:color="auto" w:sz="8" w:space="0"/>
            </w:tcBorders>
            <w:vAlign w:val="center"/>
          </w:tcPr>
          <w:p w14:paraId="650B6D05">
            <w:pPr>
              <w:adjustRightInd w:val="0"/>
              <w:snapToGrid w:val="0"/>
              <w:jc w:val="center"/>
              <w:rPr>
                <w:rFonts w:ascii="Times New Roman" w:hAnsi="Times New Roman" w:eastAsia="仿宋_GB2312"/>
                <w:sz w:val="20"/>
              </w:rPr>
            </w:pPr>
          </w:p>
        </w:tc>
        <w:tc>
          <w:tcPr>
            <w:tcW w:w="1134" w:type="dxa"/>
            <w:tcBorders>
              <w:top w:val="single" w:color="auto" w:sz="8" w:space="0"/>
              <w:left w:val="single" w:color="auto" w:sz="8" w:space="0"/>
              <w:bottom w:val="single" w:color="auto" w:sz="8" w:space="0"/>
              <w:right w:val="single" w:color="auto" w:sz="8" w:space="0"/>
            </w:tcBorders>
            <w:vAlign w:val="center"/>
          </w:tcPr>
          <w:p w14:paraId="0EAF220D">
            <w:pPr>
              <w:adjustRightInd w:val="0"/>
              <w:snapToGrid w:val="0"/>
              <w:jc w:val="center"/>
              <w:rPr>
                <w:rFonts w:ascii="Times New Roman" w:hAnsi="Times New Roman" w:eastAsia="仿宋_GB2312"/>
                <w:sz w:val="20"/>
              </w:rPr>
            </w:pPr>
            <w:r>
              <w:rPr>
                <w:rFonts w:hint="eastAsia" w:ascii="Times New Roman" w:hAnsi="Times New Roman" w:eastAsia="仿宋_GB2312"/>
                <w:sz w:val="20"/>
              </w:rPr>
              <w:t>95%以上</w:t>
            </w:r>
          </w:p>
        </w:tc>
        <w:tc>
          <w:tcPr>
            <w:tcW w:w="821" w:type="dxa"/>
            <w:tcBorders>
              <w:top w:val="single" w:color="auto" w:sz="8" w:space="0"/>
              <w:left w:val="single" w:color="auto" w:sz="8" w:space="0"/>
              <w:bottom w:val="single" w:color="auto" w:sz="8" w:space="0"/>
              <w:right w:val="single" w:color="auto" w:sz="8" w:space="0"/>
            </w:tcBorders>
            <w:vAlign w:val="center"/>
          </w:tcPr>
          <w:p w14:paraId="16AE5AA1">
            <w:pPr>
              <w:adjustRightInd w:val="0"/>
              <w:snapToGrid w:val="0"/>
              <w:jc w:val="center"/>
              <w:rPr>
                <w:rFonts w:ascii="Times New Roman" w:hAnsi="Times New Roman" w:eastAsia="仿宋_GB2312"/>
                <w:sz w:val="20"/>
                <w:szCs w:val="22"/>
              </w:rPr>
            </w:pPr>
            <w:r>
              <w:rPr>
                <w:rFonts w:hint="eastAsia" w:ascii="Times New Roman" w:hAnsi="Times New Roman" w:eastAsia="仿宋_GB2312"/>
                <w:sz w:val="20"/>
                <w:szCs w:val="21"/>
              </w:rPr>
              <w:t>—</w:t>
            </w:r>
          </w:p>
        </w:tc>
        <w:tc>
          <w:tcPr>
            <w:tcW w:w="879" w:type="dxa"/>
            <w:tcBorders>
              <w:top w:val="single" w:color="auto" w:sz="8" w:space="0"/>
              <w:left w:val="single" w:color="auto" w:sz="8" w:space="0"/>
              <w:bottom w:val="single" w:color="auto" w:sz="8" w:space="0"/>
              <w:right w:val="single" w:color="auto" w:sz="8" w:space="0"/>
            </w:tcBorders>
            <w:vAlign w:val="center"/>
          </w:tcPr>
          <w:p w14:paraId="72D66BCD">
            <w:pPr>
              <w:jc w:val="center"/>
              <w:rPr>
                <w:rFonts w:ascii="Times New Roman" w:hAnsi="Times New Roman" w:eastAsia="仿宋_GB2312"/>
                <w:sz w:val="20"/>
                <w:szCs w:val="21"/>
              </w:rPr>
            </w:pPr>
            <w:r>
              <w:rPr>
                <w:rFonts w:hint="eastAsia" w:ascii="Times New Roman" w:hAnsi="Times New Roman" w:eastAsia="仿宋_GB2312"/>
                <w:sz w:val="20"/>
                <w:szCs w:val="21"/>
              </w:rPr>
              <w:t>预期性</w:t>
            </w:r>
          </w:p>
        </w:tc>
      </w:tr>
      <w:tr w14:paraId="06795B46">
        <w:tblPrEx>
          <w:tblCellMar>
            <w:top w:w="0" w:type="dxa"/>
            <w:left w:w="108" w:type="dxa"/>
            <w:bottom w:w="0" w:type="dxa"/>
            <w:right w:w="108" w:type="dxa"/>
          </w:tblCellMar>
        </w:tblPrEx>
        <w:trPr>
          <w:trHeight w:val="454" w:hRule="exact"/>
          <w:jc w:val="center"/>
        </w:trPr>
        <w:tc>
          <w:tcPr>
            <w:tcW w:w="416" w:type="dxa"/>
            <w:vMerge w:val="continue"/>
            <w:tcBorders>
              <w:top w:val="nil"/>
              <w:left w:val="single" w:color="auto" w:sz="8" w:space="0"/>
              <w:right w:val="single" w:color="000000" w:sz="8" w:space="0"/>
            </w:tcBorders>
            <w:vAlign w:val="center"/>
          </w:tcPr>
          <w:p w14:paraId="079F3CEA">
            <w:pPr>
              <w:jc w:val="center"/>
              <w:rPr>
                <w:rFonts w:ascii="黑体" w:hAnsi="黑体" w:eastAsia="黑体" w:cs="黑体"/>
                <w:sz w:val="20"/>
                <w:szCs w:val="21"/>
              </w:rPr>
            </w:pPr>
          </w:p>
        </w:tc>
        <w:tc>
          <w:tcPr>
            <w:tcW w:w="4602" w:type="dxa"/>
            <w:gridSpan w:val="3"/>
            <w:tcBorders>
              <w:top w:val="nil"/>
              <w:left w:val="nil"/>
              <w:bottom w:val="single" w:color="000000" w:sz="8" w:space="0"/>
              <w:right w:val="single" w:color="auto" w:sz="8" w:space="0"/>
            </w:tcBorders>
            <w:vAlign w:val="center"/>
          </w:tcPr>
          <w:p w14:paraId="52A2709F">
            <w:pPr>
              <w:adjustRightInd w:val="0"/>
              <w:snapToGrid w:val="0"/>
              <w:jc w:val="left"/>
              <w:rPr>
                <w:rFonts w:ascii="Times New Roman" w:hAnsi="Times New Roman" w:eastAsia="仿宋_GB2312"/>
                <w:sz w:val="20"/>
                <w:szCs w:val="21"/>
              </w:rPr>
            </w:pPr>
            <w:r>
              <w:rPr>
                <w:rFonts w:hint="eastAsia" w:ascii="Times New Roman" w:hAnsi="Times New Roman" w:eastAsia="仿宋_GB2312"/>
                <w:sz w:val="20"/>
                <w:szCs w:val="21"/>
              </w:rPr>
              <w:t>21.每千人口拥有0-3岁婴幼儿托位数（个）</w:t>
            </w:r>
          </w:p>
        </w:tc>
        <w:tc>
          <w:tcPr>
            <w:tcW w:w="1134" w:type="dxa"/>
            <w:tcBorders>
              <w:top w:val="single" w:color="auto" w:sz="8" w:space="0"/>
              <w:left w:val="single" w:color="auto" w:sz="8" w:space="0"/>
              <w:bottom w:val="single" w:color="auto" w:sz="8" w:space="0"/>
              <w:right w:val="single" w:color="auto" w:sz="8" w:space="0"/>
            </w:tcBorders>
            <w:vAlign w:val="center"/>
          </w:tcPr>
          <w:p w14:paraId="433D1745">
            <w:pPr>
              <w:adjustRightInd w:val="0"/>
              <w:snapToGrid w:val="0"/>
              <w:jc w:val="center"/>
              <w:rPr>
                <w:rFonts w:ascii="Times New Roman" w:hAnsi="Times New Roman" w:eastAsia="仿宋_GB2312"/>
                <w:sz w:val="20"/>
              </w:rPr>
            </w:pPr>
            <w:r>
              <w:rPr>
                <w:rFonts w:hint="eastAsia" w:ascii="Times New Roman" w:hAnsi="Times New Roman" w:eastAsia="仿宋_GB2312"/>
                <w:sz w:val="20"/>
                <w:szCs w:val="21"/>
              </w:rPr>
              <w:t>—</w:t>
            </w:r>
          </w:p>
        </w:tc>
        <w:tc>
          <w:tcPr>
            <w:tcW w:w="1134" w:type="dxa"/>
            <w:tcBorders>
              <w:top w:val="single" w:color="auto" w:sz="8" w:space="0"/>
              <w:left w:val="single" w:color="auto" w:sz="8" w:space="0"/>
              <w:bottom w:val="single" w:color="auto" w:sz="8" w:space="0"/>
              <w:right w:val="single" w:color="auto" w:sz="8" w:space="0"/>
            </w:tcBorders>
            <w:vAlign w:val="center"/>
          </w:tcPr>
          <w:p w14:paraId="7A034CF7">
            <w:pPr>
              <w:adjustRightInd w:val="0"/>
              <w:snapToGrid w:val="0"/>
              <w:jc w:val="center"/>
              <w:rPr>
                <w:rFonts w:hint="default" w:ascii="Times New Roman" w:hAnsi="Times New Roman" w:eastAsia="仿宋_GB2312"/>
                <w:sz w:val="20"/>
                <w:lang w:val="en-US" w:eastAsia="zh-CN"/>
              </w:rPr>
            </w:pPr>
            <w:r>
              <w:rPr>
                <w:rFonts w:hint="eastAsia" w:ascii="Times New Roman" w:hAnsi="Times New Roman" w:eastAsia="仿宋_GB2312"/>
                <w:sz w:val="20"/>
                <w:szCs w:val="21"/>
                <w:lang w:val="en-US" w:eastAsia="zh-CN"/>
              </w:rPr>
              <w:t>力争4</w:t>
            </w:r>
          </w:p>
        </w:tc>
        <w:tc>
          <w:tcPr>
            <w:tcW w:w="821" w:type="dxa"/>
            <w:tcBorders>
              <w:top w:val="single" w:color="auto" w:sz="8" w:space="0"/>
              <w:left w:val="single" w:color="auto" w:sz="8" w:space="0"/>
              <w:bottom w:val="single" w:color="auto" w:sz="8" w:space="0"/>
              <w:right w:val="single" w:color="auto" w:sz="8" w:space="0"/>
            </w:tcBorders>
            <w:vAlign w:val="center"/>
          </w:tcPr>
          <w:p w14:paraId="4CEB4316">
            <w:pPr>
              <w:adjustRightInd w:val="0"/>
              <w:snapToGrid w:val="0"/>
              <w:jc w:val="center"/>
              <w:rPr>
                <w:rFonts w:ascii="Times New Roman" w:hAnsi="Times New Roman" w:eastAsia="仿宋_GB2312"/>
                <w:sz w:val="20"/>
                <w:szCs w:val="22"/>
              </w:rPr>
            </w:pPr>
            <w:r>
              <w:rPr>
                <w:rFonts w:hint="eastAsia" w:ascii="Times New Roman" w:hAnsi="Times New Roman" w:eastAsia="仿宋_GB2312"/>
                <w:sz w:val="20"/>
                <w:szCs w:val="21"/>
              </w:rPr>
              <w:t>—</w:t>
            </w:r>
          </w:p>
        </w:tc>
        <w:tc>
          <w:tcPr>
            <w:tcW w:w="879" w:type="dxa"/>
            <w:tcBorders>
              <w:top w:val="single" w:color="auto" w:sz="8" w:space="0"/>
              <w:left w:val="single" w:color="auto" w:sz="8" w:space="0"/>
              <w:bottom w:val="single" w:color="auto" w:sz="8" w:space="0"/>
              <w:right w:val="single" w:color="auto" w:sz="8" w:space="0"/>
            </w:tcBorders>
            <w:vAlign w:val="center"/>
          </w:tcPr>
          <w:p w14:paraId="37035B70">
            <w:pPr>
              <w:jc w:val="center"/>
              <w:rPr>
                <w:rFonts w:ascii="Times New Roman" w:hAnsi="Times New Roman" w:eastAsia="仿宋_GB2312"/>
                <w:sz w:val="20"/>
                <w:szCs w:val="21"/>
              </w:rPr>
            </w:pPr>
            <w:r>
              <w:rPr>
                <w:rFonts w:hint="eastAsia" w:ascii="Times New Roman" w:hAnsi="Times New Roman" w:eastAsia="仿宋_GB2312"/>
                <w:sz w:val="20"/>
                <w:szCs w:val="21"/>
              </w:rPr>
              <w:t>预期性</w:t>
            </w:r>
          </w:p>
        </w:tc>
      </w:tr>
      <w:tr w14:paraId="3DE49128">
        <w:tblPrEx>
          <w:tblCellMar>
            <w:top w:w="0" w:type="dxa"/>
            <w:left w:w="108" w:type="dxa"/>
            <w:bottom w:w="0" w:type="dxa"/>
            <w:right w:w="108" w:type="dxa"/>
          </w:tblCellMar>
        </w:tblPrEx>
        <w:trPr>
          <w:trHeight w:val="454" w:hRule="exact"/>
          <w:jc w:val="center"/>
        </w:trPr>
        <w:tc>
          <w:tcPr>
            <w:tcW w:w="416" w:type="dxa"/>
            <w:vMerge w:val="continue"/>
            <w:tcBorders>
              <w:left w:val="single" w:color="auto" w:sz="8" w:space="0"/>
              <w:bottom w:val="single" w:color="000000" w:sz="8" w:space="0"/>
              <w:right w:val="single" w:color="000000" w:sz="8" w:space="0"/>
            </w:tcBorders>
            <w:vAlign w:val="center"/>
          </w:tcPr>
          <w:p w14:paraId="37881D71">
            <w:pPr>
              <w:jc w:val="center"/>
              <w:rPr>
                <w:rFonts w:ascii="仿宋_GB2312"/>
                <w:sz w:val="20"/>
                <w:szCs w:val="21"/>
              </w:rPr>
            </w:pPr>
          </w:p>
        </w:tc>
        <w:tc>
          <w:tcPr>
            <w:tcW w:w="4602" w:type="dxa"/>
            <w:gridSpan w:val="3"/>
            <w:tcBorders>
              <w:top w:val="nil"/>
              <w:left w:val="nil"/>
              <w:bottom w:val="single" w:color="000000" w:sz="8" w:space="0"/>
              <w:right w:val="single" w:color="auto" w:sz="8" w:space="0"/>
            </w:tcBorders>
            <w:vAlign w:val="center"/>
          </w:tcPr>
          <w:p w14:paraId="3C956D68">
            <w:pPr>
              <w:adjustRightInd w:val="0"/>
              <w:snapToGrid w:val="0"/>
              <w:jc w:val="left"/>
              <w:rPr>
                <w:rFonts w:ascii="Times New Roman" w:hAnsi="Times New Roman" w:eastAsia="仿宋_GB2312"/>
                <w:sz w:val="20"/>
                <w:szCs w:val="21"/>
              </w:rPr>
            </w:pPr>
            <w:r>
              <w:rPr>
                <w:rFonts w:hint="eastAsia" w:ascii="Times New Roman" w:hAnsi="Times New Roman" w:eastAsia="仿宋_GB2312"/>
                <w:sz w:val="20"/>
                <w:szCs w:val="21"/>
              </w:rPr>
              <w:t>22.人均预期寿命（岁）</w:t>
            </w:r>
          </w:p>
        </w:tc>
        <w:tc>
          <w:tcPr>
            <w:tcW w:w="1134" w:type="dxa"/>
            <w:tcBorders>
              <w:top w:val="single" w:color="auto" w:sz="8" w:space="0"/>
              <w:left w:val="single" w:color="auto" w:sz="8" w:space="0"/>
              <w:bottom w:val="single" w:color="auto" w:sz="8" w:space="0"/>
              <w:right w:val="single" w:color="auto" w:sz="8" w:space="0"/>
            </w:tcBorders>
            <w:vAlign w:val="center"/>
          </w:tcPr>
          <w:p w14:paraId="533F5808">
            <w:pPr>
              <w:jc w:val="center"/>
              <w:rPr>
                <w:rFonts w:ascii="Times New Roman" w:hAnsi="Times New Roman" w:eastAsia="仿宋_GB2312"/>
                <w:sz w:val="20"/>
                <w:szCs w:val="21"/>
              </w:rPr>
            </w:pPr>
            <w:r>
              <w:rPr>
                <w:rFonts w:ascii="Times New Roman" w:hAnsi="Times New Roman" w:eastAsia="仿宋_GB2312"/>
                <w:sz w:val="20"/>
                <w:szCs w:val="21"/>
              </w:rPr>
              <w:t>77.3</w:t>
            </w:r>
          </w:p>
        </w:tc>
        <w:tc>
          <w:tcPr>
            <w:tcW w:w="1134" w:type="dxa"/>
            <w:tcBorders>
              <w:top w:val="single" w:color="auto" w:sz="8" w:space="0"/>
              <w:left w:val="single" w:color="auto" w:sz="8" w:space="0"/>
              <w:bottom w:val="single" w:color="auto" w:sz="8" w:space="0"/>
              <w:right w:val="single" w:color="auto" w:sz="8" w:space="0"/>
            </w:tcBorders>
            <w:vAlign w:val="center"/>
          </w:tcPr>
          <w:p w14:paraId="50E5BBC7">
            <w:pPr>
              <w:jc w:val="center"/>
              <w:rPr>
                <w:rFonts w:hint="default" w:ascii="Times New Roman" w:hAnsi="Times New Roman" w:eastAsia="仿宋_GB2312"/>
                <w:sz w:val="20"/>
                <w:szCs w:val="21"/>
                <w:lang w:val="en-US" w:eastAsia="zh-CN"/>
              </w:rPr>
            </w:pPr>
            <w:r>
              <w:rPr>
                <w:rFonts w:hint="eastAsia" w:ascii="Times New Roman" w:hAnsi="Times New Roman" w:eastAsia="仿宋_GB2312"/>
                <w:sz w:val="20"/>
                <w:szCs w:val="21"/>
                <w:lang w:val="en-US" w:eastAsia="zh-CN"/>
              </w:rPr>
              <w:t>81</w:t>
            </w:r>
          </w:p>
        </w:tc>
        <w:tc>
          <w:tcPr>
            <w:tcW w:w="821" w:type="dxa"/>
            <w:tcBorders>
              <w:top w:val="single" w:color="auto" w:sz="8" w:space="0"/>
              <w:left w:val="single" w:color="auto" w:sz="8" w:space="0"/>
              <w:bottom w:val="single" w:color="auto" w:sz="8" w:space="0"/>
              <w:right w:val="single" w:color="auto" w:sz="8" w:space="0"/>
            </w:tcBorders>
            <w:vAlign w:val="center"/>
          </w:tcPr>
          <w:p w14:paraId="5687869A">
            <w:pPr>
              <w:jc w:val="center"/>
              <w:rPr>
                <w:rFonts w:ascii="Times New Roman" w:hAnsi="Times New Roman" w:eastAsia="仿宋_GB2312"/>
                <w:sz w:val="20"/>
                <w:szCs w:val="21"/>
              </w:rPr>
            </w:pPr>
            <w:r>
              <w:rPr>
                <w:rFonts w:hint="eastAsia" w:ascii="Times New Roman" w:hAnsi="Times New Roman" w:eastAsia="仿宋_GB2312"/>
                <w:sz w:val="20"/>
                <w:szCs w:val="21"/>
              </w:rPr>
              <w:t>—</w:t>
            </w:r>
          </w:p>
        </w:tc>
        <w:tc>
          <w:tcPr>
            <w:tcW w:w="879" w:type="dxa"/>
            <w:tcBorders>
              <w:top w:val="single" w:color="auto" w:sz="8" w:space="0"/>
              <w:left w:val="single" w:color="auto" w:sz="8" w:space="0"/>
              <w:bottom w:val="single" w:color="auto" w:sz="8" w:space="0"/>
              <w:right w:val="single" w:color="auto" w:sz="8" w:space="0"/>
            </w:tcBorders>
            <w:vAlign w:val="center"/>
          </w:tcPr>
          <w:p w14:paraId="41587FF9">
            <w:pPr>
              <w:jc w:val="center"/>
              <w:rPr>
                <w:rFonts w:ascii="Times New Roman" w:hAnsi="Times New Roman" w:eastAsia="仿宋_GB2312"/>
                <w:sz w:val="20"/>
                <w:szCs w:val="21"/>
              </w:rPr>
            </w:pPr>
            <w:r>
              <w:rPr>
                <w:rFonts w:hint="eastAsia" w:ascii="Times New Roman" w:hAnsi="Times New Roman" w:eastAsia="仿宋_GB2312"/>
                <w:sz w:val="20"/>
                <w:szCs w:val="21"/>
              </w:rPr>
              <w:t>预期性</w:t>
            </w:r>
          </w:p>
        </w:tc>
      </w:tr>
      <w:tr w14:paraId="3116218B">
        <w:tblPrEx>
          <w:tblCellMar>
            <w:top w:w="0" w:type="dxa"/>
            <w:left w:w="108" w:type="dxa"/>
            <w:bottom w:w="0" w:type="dxa"/>
            <w:right w:w="108" w:type="dxa"/>
          </w:tblCellMar>
        </w:tblPrEx>
        <w:trPr>
          <w:trHeight w:val="20" w:hRule="atLeast"/>
          <w:jc w:val="center"/>
        </w:trPr>
        <w:tc>
          <w:tcPr>
            <w:tcW w:w="416" w:type="dxa"/>
            <w:vMerge w:val="restart"/>
            <w:tcBorders>
              <w:top w:val="nil"/>
              <w:left w:val="single" w:color="000000" w:sz="8" w:space="0"/>
              <w:right w:val="single" w:color="000000" w:sz="8" w:space="0"/>
            </w:tcBorders>
            <w:vAlign w:val="center"/>
          </w:tcPr>
          <w:p w14:paraId="20DC73DE">
            <w:pPr>
              <w:jc w:val="center"/>
              <w:rPr>
                <w:rFonts w:ascii="仿宋_GB2312"/>
                <w:sz w:val="20"/>
                <w:szCs w:val="21"/>
              </w:rPr>
            </w:pPr>
            <w:r>
              <w:rPr>
                <w:rFonts w:hint="eastAsia" w:ascii="黑体" w:hAnsi="黑体" w:eastAsia="黑体" w:cs="黑体"/>
                <w:sz w:val="20"/>
                <w:szCs w:val="21"/>
              </w:rPr>
              <w:t>绿色生态</w:t>
            </w:r>
          </w:p>
        </w:tc>
        <w:tc>
          <w:tcPr>
            <w:tcW w:w="4602" w:type="dxa"/>
            <w:gridSpan w:val="3"/>
            <w:tcBorders>
              <w:top w:val="nil"/>
              <w:left w:val="nil"/>
              <w:bottom w:val="single" w:color="000000" w:sz="8" w:space="0"/>
              <w:right w:val="single" w:color="auto" w:sz="8" w:space="0"/>
            </w:tcBorders>
            <w:vAlign w:val="center"/>
          </w:tcPr>
          <w:p w14:paraId="66E4C008">
            <w:pPr>
              <w:jc w:val="left"/>
              <w:rPr>
                <w:rFonts w:ascii="Times New Roman" w:hAnsi="Times New Roman" w:eastAsia="仿宋_GB2312"/>
                <w:sz w:val="20"/>
                <w:szCs w:val="21"/>
              </w:rPr>
            </w:pPr>
            <w:r>
              <w:rPr>
                <w:rFonts w:hint="eastAsia" w:ascii="Times New Roman" w:hAnsi="Times New Roman" w:eastAsia="仿宋_GB2312"/>
                <w:sz w:val="20"/>
                <w:szCs w:val="21"/>
              </w:rPr>
              <w:t>23.单位GDP能源消耗降低（%）</w:t>
            </w:r>
          </w:p>
        </w:tc>
        <w:tc>
          <w:tcPr>
            <w:tcW w:w="1134" w:type="dxa"/>
            <w:tcBorders>
              <w:top w:val="single" w:color="auto" w:sz="8" w:space="0"/>
              <w:left w:val="single" w:color="auto" w:sz="8" w:space="0"/>
              <w:bottom w:val="single" w:color="auto" w:sz="8" w:space="0"/>
              <w:right w:val="single" w:color="auto" w:sz="8" w:space="0"/>
            </w:tcBorders>
            <w:vAlign w:val="center"/>
          </w:tcPr>
          <w:p w14:paraId="775D3988">
            <w:pPr>
              <w:jc w:val="center"/>
              <w:rPr>
                <w:rFonts w:ascii="Times New Roman" w:hAnsi="Times New Roman" w:eastAsia="仿宋_GB2312"/>
                <w:sz w:val="20"/>
                <w:szCs w:val="21"/>
              </w:rPr>
            </w:pPr>
            <w:r>
              <w:rPr>
                <w:rFonts w:hint="eastAsia" w:ascii="Times New Roman" w:hAnsi="Times New Roman" w:eastAsia="仿宋_GB2312"/>
                <w:sz w:val="20"/>
                <w:szCs w:val="21"/>
              </w:rPr>
              <w:t>完成省、市下达目标</w:t>
            </w:r>
          </w:p>
        </w:tc>
        <w:tc>
          <w:tcPr>
            <w:tcW w:w="1134" w:type="dxa"/>
            <w:tcBorders>
              <w:top w:val="single" w:color="auto" w:sz="8" w:space="0"/>
              <w:left w:val="single" w:color="auto" w:sz="8" w:space="0"/>
              <w:bottom w:val="single" w:color="auto" w:sz="8" w:space="0"/>
              <w:right w:val="single" w:color="auto" w:sz="8" w:space="0"/>
            </w:tcBorders>
            <w:vAlign w:val="center"/>
          </w:tcPr>
          <w:p w14:paraId="2575805A">
            <w:pPr>
              <w:jc w:val="center"/>
              <w:rPr>
                <w:rFonts w:ascii="Times New Roman" w:hAnsi="Times New Roman" w:eastAsia="仿宋_GB2312"/>
                <w:sz w:val="20"/>
                <w:szCs w:val="21"/>
              </w:rPr>
            </w:pPr>
            <w:r>
              <w:rPr>
                <w:rFonts w:hint="eastAsia" w:ascii="Times New Roman" w:hAnsi="Times New Roman" w:eastAsia="仿宋_GB2312"/>
                <w:sz w:val="20"/>
                <w:szCs w:val="21"/>
              </w:rPr>
              <w:t>省、市下达</w:t>
            </w:r>
          </w:p>
        </w:tc>
        <w:tc>
          <w:tcPr>
            <w:tcW w:w="821" w:type="dxa"/>
            <w:tcBorders>
              <w:top w:val="single" w:color="auto" w:sz="8" w:space="0"/>
              <w:left w:val="single" w:color="auto" w:sz="8" w:space="0"/>
              <w:bottom w:val="single" w:color="auto" w:sz="8" w:space="0"/>
              <w:right w:val="single" w:color="auto" w:sz="8" w:space="0"/>
            </w:tcBorders>
            <w:vAlign w:val="center"/>
          </w:tcPr>
          <w:p w14:paraId="25D0B300">
            <w:pPr>
              <w:jc w:val="center"/>
              <w:rPr>
                <w:rFonts w:ascii="Times New Roman" w:hAnsi="Times New Roman" w:eastAsia="仿宋_GB2312"/>
                <w:sz w:val="20"/>
                <w:szCs w:val="21"/>
              </w:rPr>
            </w:pPr>
            <w:r>
              <w:rPr>
                <w:rFonts w:hint="eastAsia" w:ascii="Times New Roman" w:hAnsi="Times New Roman" w:eastAsia="仿宋_GB2312"/>
                <w:sz w:val="20"/>
                <w:szCs w:val="21"/>
              </w:rPr>
              <w:t>—</w:t>
            </w:r>
          </w:p>
        </w:tc>
        <w:tc>
          <w:tcPr>
            <w:tcW w:w="879" w:type="dxa"/>
            <w:tcBorders>
              <w:top w:val="single" w:color="auto" w:sz="8" w:space="0"/>
              <w:left w:val="single" w:color="auto" w:sz="8" w:space="0"/>
              <w:bottom w:val="single" w:color="auto" w:sz="8" w:space="0"/>
              <w:right w:val="single" w:color="auto" w:sz="8" w:space="0"/>
            </w:tcBorders>
            <w:vAlign w:val="center"/>
          </w:tcPr>
          <w:p w14:paraId="56600C40">
            <w:pPr>
              <w:jc w:val="center"/>
              <w:rPr>
                <w:rFonts w:ascii="Times New Roman" w:hAnsi="Times New Roman" w:eastAsia="仿宋_GB2312"/>
                <w:sz w:val="20"/>
                <w:szCs w:val="21"/>
              </w:rPr>
            </w:pPr>
            <w:r>
              <w:rPr>
                <w:rFonts w:hint="eastAsia" w:ascii="Times New Roman" w:hAnsi="Times New Roman" w:eastAsia="仿宋_GB2312"/>
                <w:sz w:val="20"/>
                <w:szCs w:val="21"/>
              </w:rPr>
              <w:t>约束性</w:t>
            </w:r>
          </w:p>
        </w:tc>
      </w:tr>
      <w:tr w14:paraId="10FD2C7D">
        <w:tblPrEx>
          <w:tblCellMar>
            <w:top w:w="0" w:type="dxa"/>
            <w:left w:w="108" w:type="dxa"/>
            <w:bottom w:w="0" w:type="dxa"/>
            <w:right w:w="108" w:type="dxa"/>
          </w:tblCellMar>
        </w:tblPrEx>
        <w:trPr>
          <w:trHeight w:val="20" w:hRule="atLeast"/>
          <w:jc w:val="center"/>
        </w:trPr>
        <w:tc>
          <w:tcPr>
            <w:tcW w:w="416" w:type="dxa"/>
            <w:vMerge w:val="continue"/>
            <w:tcBorders>
              <w:left w:val="single" w:color="000000" w:sz="8" w:space="0"/>
              <w:right w:val="single" w:color="000000" w:sz="8" w:space="0"/>
            </w:tcBorders>
            <w:vAlign w:val="center"/>
          </w:tcPr>
          <w:p w14:paraId="08A452BB">
            <w:pPr>
              <w:jc w:val="center"/>
              <w:rPr>
                <w:rFonts w:ascii="仿宋_GB2312"/>
                <w:sz w:val="20"/>
                <w:szCs w:val="21"/>
              </w:rPr>
            </w:pPr>
          </w:p>
        </w:tc>
        <w:tc>
          <w:tcPr>
            <w:tcW w:w="4602" w:type="dxa"/>
            <w:gridSpan w:val="3"/>
            <w:tcBorders>
              <w:top w:val="nil"/>
              <w:left w:val="nil"/>
              <w:bottom w:val="single" w:color="000000" w:sz="8" w:space="0"/>
              <w:right w:val="single" w:color="auto" w:sz="8" w:space="0"/>
            </w:tcBorders>
            <w:vAlign w:val="center"/>
          </w:tcPr>
          <w:p w14:paraId="7BDB5D3C">
            <w:pPr>
              <w:jc w:val="left"/>
              <w:rPr>
                <w:rFonts w:ascii="Times New Roman" w:hAnsi="Times New Roman" w:eastAsia="仿宋_GB2312"/>
                <w:sz w:val="20"/>
                <w:szCs w:val="21"/>
              </w:rPr>
            </w:pPr>
            <w:r>
              <w:rPr>
                <w:rFonts w:hint="eastAsia" w:ascii="Times New Roman" w:hAnsi="Times New Roman" w:eastAsia="仿宋_GB2312"/>
                <w:sz w:val="20"/>
                <w:szCs w:val="21"/>
              </w:rPr>
              <w:t>24.单位GDP二氧化碳排放降低（%）</w:t>
            </w:r>
          </w:p>
        </w:tc>
        <w:tc>
          <w:tcPr>
            <w:tcW w:w="1134" w:type="dxa"/>
            <w:tcBorders>
              <w:top w:val="single" w:color="auto" w:sz="8" w:space="0"/>
              <w:left w:val="single" w:color="auto" w:sz="8" w:space="0"/>
              <w:bottom w:val="single" w:color="auto" w:sz="8" w:space="0"/>
              <w:right w:val="single" w:color="auto" w:sz="8" w:space="0"/>
            </w:tcBorders>
            <w:vAlign w:val="center"/>
          </w:tcPr>
          <w:p w14:paraId="43941750">
            <w:pPr>
              <w:jc w:val="center"/>
              <w:rPr>
                <w:rFonts w:ascii="Times New Roman" w:hAnsi="Times New Roman" w:eastAsia="仿宋_GB2312"/>
                <w:sz w:val="20"/>
                <w:szCs w:val="21"/>
              </w:rPr>
            </w:pPr>
            <w:r>
              <w:rPr>
                <w:rFonts w:hint="eastAsia" w:ascii="Times New Roman" w:hAnsi="Times New Roman" w:eastAsia="仿宋_GB2312"/>
                <w:sz w:val="20"/>
                <w:szCs w:val="21"/>
              </w:rPr>
              <w:t>完成省、市下达目标</w:t>
            </w:r>
          </w:p>
        </w:tc>
        <w:tc>
          <w:tcPr>
            <w:tcW w:w="1134" w:type="dxa"/>
            <w:tcBorders>
              <w:top w:val="single" w:color="auto" w:sz="8" w:space="0"/>
              <w:left w:val="single" w:color="auto" w:sz="8" w:space="0"/>
              <w:bottom w:val="single" w:color="auto" w:sz="8" w:space="0"/>
              <w:right w:val="single" w:color="auto" w:sz="8" w:space="0"/>
            </w:tcBorders>
            <w:vAlign w:val="center"/>
          </w:tcPr>
          <w:p w14:paraId="5AB045DA">
            <w:pPr>
              <w:jc w:val="center"/>
              <w:rPr>
                <w:rFonts w:ascii="Times New Roman" w:hAnsi="Times New Roman" w:eastAsia="仿宋_GB2312"/>
                <w:sz w:val="20"/>
                <w:szCs w:val="21"/>
              </w:rPr>
            </w:pPr>
            <w:r>
              <w:rPr>
                <w:rFonts w:hint="eastAsia" w:ascii="Times New Roman" w:hAnsi="Times New Roman" w:eastAsia="仿宋_GB2312"/>
                <w:sz w:val="20"/>
                <w:szCs w:val="21"/>
              </w:rPr>
              <w:t>省、市下达</w:t>
            </w:r>
          </w:p>
        </w:tc>
        <w:tc>
          <w:tcPr>
            <w:tcW w:w="821" w:type="dxa"/>
            <w:tcBorders>
              <w:top w:val="single" w:color="auto" w:sz="8" w:space="0"/>
              <w:left w:val="single" w:color="auto" w:sz="8" w:space="0"/>
              <w:bottom w:val="single" w:color="auto" w:sz="8" w:space="0"/>
              <w:right w:val="single" w:color="auto" w:sz="8" w:space="0"/>
            </w:tcBorders>
            <w:vAlign w:val="center"/>
          </w:tcPr>
          <w:p w14:paraId="7DFBEF64">
            <w:pPr>
              <w:jc w:val="center"/>
              <w:rPr>
                <w:rFonts w:ascii="Times New Roman" w:hAnsi="Times New Roman" w:eastAsia="仿宋_GB2312"/>
                <w:sz w:val="20"/>
                <w:szCs w:val="21"/>
              </w:rPr>
            </w:pPr>
            <w:r>
              <w:rPr>
                <w:rFonts w:hint="eastAsia" w:ascii="Times New Roman" w:hAnsi="Times New Roman" w:eastAsia="仿宋_GB2312"/>
                <w:sz w:val="20"/>
                <w:szCs w:val="21"/>
              </w:rPr>
              <w:t>—</w:t>
            </w:r>
          </w:p>
        </w:tc>
        <w:tc>
          <w:tcPr>
            <w:tcW w:w="879" w:type="dxa"/>
            <w:tcBorders>
              <w:top w:val="single" w:color="auto" w:sz="8" w:space="0"/>
              <w:left w:val="single" w:color="auto" w:sz="8" w:space="0"/>
              <w:bottom w:val="single" w:color="auto" w:sz="8" w:space="0"/>
              <w:right w:val="single" w:color="auto" w:sz="8" w:space="0"/>
            </w:tcBorders>
            <w:vAlign w:val="center"/>
          </w:tcPr>
          <w:p w14:paraId="66868F7C">
            <w:pPr>
              <w:jc w:val="center"/>
              <w:rPr>
                <w:rFonts w:ascii="Times New Roman" w:hAnsi="Times New Roman" w:eastAsia="仿宋_GB2312"/>
                <w:sz w:val="20"/>
                <w:szCs w:val="21"/>
              </w:rPr>
            </w:pPr>
            <w:r>
              <w:rPr>
                <w:rFonts w:hint="eastAsia" w:ascii="Times New Roman" w:hAnsi="Times New Roman" w:eastAsia="仿宋_GB2312"/>
                <w:sz w:val="20"/>
                <w:szCs w:val="21"/>
              </w:rPr>
              <w:t>约束性</w:t>
            </w:r>
          </w:p>
        </w:tc>
      </w:tr>
      <w:tr w14:paraId="7BA73612">
        <w:tblPrEx>
          <w:tblCellMar>
            <w:top w:w="0" w:type="dxa"/>
            <w:left w:w="108" w:type="dxa"/>
            <w:bottom w:w="0" w:type="dxa"/>
            <w:right w:w="108" w:type="dxa"/>
          </w:tblCellMar>
        </w:tblPrEx>
        <w:trPr>
          <w:trHeight w:val="20" w:hRule="atLeast"/>
          <w:jc w:val="center"/>
        </w:trPr>
        <w:tc>
          <w:tcPr>
            <w:tcW w:w="416" w:type="dxa"/>
            <w:vMerge w:val="continue"/>
            <w:tcBorders>
              <w:left w:val="single" w:color="000000" w:sz="8" w:space="0"/>
              <w:right w:val="single" w:color="000000" w:sz="8" w:space="0"/>
            </w:tcBorders>
            <w:vAlign w:val="center"/>
          </w:tcPr>
          <w:p w14:paraId="6CB2C86A">
            <w:pPr>
              <w:jc w:val="center"/>
              <w:rPr>
                <w:rFonts w:ascii="仿宋_GB2312"/>
                <w:sz w:val="20"/>
                <w:szCs w:val="21"/>
              </w:rPr>
            </w:pPr>
          </w:p>
        </w:tc>
        <w:tc>
          <w:tcPr>
            <w:tcW w:w="4602" w:type="dxa"/>
            <w:gridSpan w:val="3"/>
            <w:tcBorders>
              <w:top w:val="nil"/>
              <w:left w:val="nil"/>
              <w:bottom w:val="single" w:color="000000" w:sz="8" w:space="0"/>
              <w:right w:val="single" w:color="auto" w:sz="8" w:space="0"/>
            </w:tcBorders>
            <w:vAlign w:val="center"/>
          </w:tcPr>
          <w:p w14:paraId="674D241D">
            <w:pPr>
              <w:jc w:val="left"/>
              <w:rPr>
                <w:rFonts w:ascii="Times New Roman" w:hAnsi="Times New Roman" w:eastAsia="仿宋_GB2312"/>
                <w:sz w:val="20"/>
                <w:szCs w:val="21"/>
              </w:rPr>
            </w:pPr>
            <w:r>
              <w:rPr>
                <w:rFonts w:hint="eastAsia" w:ascii="Times New Roman" w:hAnsi="Times New Roman" w:eastAsia="仿宋_GB2312"/>
                <w:sz w:val="20"/>
                <w:szCs w:val="21"/>
              </w:rPr>
              <w:t>25.城区空气质量优良天数比率（%）</w:t>
            </w:r>
          </w:p>
        </w:tc>
        <w:tc>
          <w:tcPr>
            <w:tcW w:w="1134" w:type="dxa"/>
            <w:tcBorders>
              <w:top w:val="single" w:color="auto" w:sz="8" w:space="0"/>
              <w:left w:val="single" w:color="auto" w:sz="8" w:space="0"/>
              <w:bottom w:val="single" w:color="auto" w:sz="8" w:space="0"/>
              <w:right w:val="single" w:color="auto" w:sz="8" w:space="0"/>
            </w:tcBorders>
            <w:vAlign w:val="center"/>
          </w:tcPr>
          <w:p w14:paraId="349E293B">
            <w:pPr>
              <w:jc w:val="center"/>
              <w:rPr>
                <w:rFonts w:ascii="Times New Roman" w:hAnsi="Times New Roman" w:eastAsia="仿宋_GB2312"/>
                <w:sz w:val="20"/>
                <w:szCs w:val="21"/>
              </w:rPr>
            </w:pPr>
            <w:r>
              <w:rPr>
                <w:rFonts w:hint="eastAsia" w:ascii="Times New Roman" w:hAnsi="Times New Roman" w:eastAsia="仿宋_GB2312"/>
                <w:sz w:val="20"/>
                <w:szCs w:val="21"/>
              </w:rPr>
              <w:t>79.7</w:t>
            </w:r>
          </w:p>
        </w:tc>
        <w:tc>
          <w:tcPr>
            <w:tcW w:w="1134" w:type="dxa"/>
            <w:tcBorders>
              <w:top w:val="single" w:color="auto" w:sz="8" w:space="0"/>
              <w:left w:val="single" w:color="auto" w:sz="8" w:space="0"/>
              <w:bottom w:val="single" w:color="auto" w:sz="8" w:space="0"/>
              <w:right w:val="single" w:color="auto" w:sz="8" w:space="0"/>
            </w:tcBorders>
            <w:vAlign w:val="center"/>
          </w:tcPr>
          <w:p w14:paraId="6D475A9C">
            <w:pPr>
              <w:jc w:val="center"/>
              <w:rPr>
                <w:rFonts w:hint="default" w:ascii="Times New Roman" w:hAnsi="Times New Roman" w:eastAsia="仿宋_GB2312"/>
                <w:sz w:val="20"/>
                <w:szCs w:val="21"/>
                <w:lang w:val="en-US" w:eastAsia="zh-CN"/>
              </w:rPr>
            </w:pPr>
            <w:r>
              <w:rPr>
                <w:rFonts w:hint="eastAsia" w:ascii="Times New Roman" w:hAnsi="Times New Roman" w:eastAsia="仿宋_GB2312"/>
                <w:sz w:val="20"/>
                <w:szCs w:val="21"/>
                <w:lang w:val="en-US" w:eastAsia="zh-CN"/>
              </w:rPr>
              <w:t>88</w:t>
            </w:r>
          </w:p>
        </w:tc>
        <w:tc>
          <w:tcPr>
            <w:tcW w:w="821" w:type="dxa"/>
            <w:tcBorders>
              <w:top w:val="single" w:color="auto" w:sz="8" w:space="0"/>
              <w:left w:val="single" w:color="auto" w:sz="8" w:space="0"/>
              <w:bottom w:val="single" w:color="auto" w:sz="8" w:space="0"/>
              <w:right w:val="single" w:color="auto" w:sz="8" w:space="0"/>
            </w:tcBorders>
            <w:vAlign w:val="center"/>
          </w:tcPr>
          <w:p w14:paraId="5781FD0C">
            <w:pPr>
              <w:jc w:val="center"/>
              <w:rPr>
                <w:rFonts w:ascii="Times New Roman" w:hAnsi="Times New Roman" w:eastAsia="仿宋_GB2312"/>
                <w:sz w:val="20"/>
                <w:szCs w:val="21"/>
              </w:rPr>
            </w:pPr>
            <w:r>
              <w:rPr>
                <w:rFonts w:hint="eastAsia" w:ascii="Times New Roman" w:hAnsi="Times New Roman" w:eastAsia="仿宋_GB2312"/>
                <w:sz w:val="20"/>
                <w:szCs w:val="21"/>
              </w:rPr>
              <w:t>—</w:t>
            </w:r>
          </w:p>
        </w:tc>
        <w:tc>
          <w:tcPr>
            <w:tcW w:w="879" w:type="dxa"/>
            <w:tcBorders>
              <w:top w:val="single" w:color="auto" w:sz="8" w:space="0"/>
              <w:left w:val="single" w:color="auto" w:sz="8" w:space="0"/>
              <w:bottom w:val="single" w:color="auto" w:sz="8" w:space="0"/>
              <w:right w:val="single" w:color="auto" w:sz="8" w:space="0"/>
            </w:tcBorders>
            <w:vAlign w:val="center"/>
          </w:tcPr>
          <w:p w14:paraId="05242CD6">
            <w:pPr>
              <w:jc w:val="center"/>
              <w:rPr>
                <w:rFonts w:ascii="Times New Roman" w:hAnsi="Times New Roman" w:eastAsia="仿宋_GB2312"/>
                <w:sz w:val="20"/>
                <w:szCs w:val="21"/>
              </w:rPr>
            </w:pPr>
            <w:r>
              <w:rPr>
                <w:rFonts w:hint="eastAsia" w:ascii="Times New Roman" w:hAnsi="Times New Roman" w:eastAsia="仿宋_GB2312"/>
                <w:sz w:val="20"/>
                <w:szCs w:val="21"/>
              </w:rPr>
              <w:t>约束性</w:t>
            </w:r>
          </w:p>
        </w:tc>
      </w:tr>
      <w:tr w14:paraId="5846A3A8">
        <w:tblPrEx>
          <w:tblCellMar>
            <w:top w:w="0" w:type="dxa"/>
            <w:left w:w="108" w:type="dxa"/>
            <w:bottom w:w="0" w:type="dxa"/>
            <w:right w:w="108" w:type="dxa"/>
          </w:tblCellMar>
        </w:tblPrEx>
        <w:trPr>
          <w:trHeight w:val="20" w:hRule="atLeast"/>
          <w:jc w:val="center"/>
        </w:trPr>
        <w:tc>
          <w:tcPr>
            <w:tcW w:w="416" w:type="dxa"/>
            <w:vMerge w:val="continue"/>
            <w:tcBorders>
              <w:left w:val="single" w:color="000000" w:sz="8" w:space="0"/>
              <w:right w:val="single" w:color="000000" w:sz="8" w:space="0"/>
            </w:tcBorders>
            <w:vAlign w:val="center"/>
          </w:tcPr>
          <w:p w14:paraId="1F4D0211">
            <w:pPr>
              <w:jc w:val="center"/>
              <w:rPr>
                <w:rFonts w:ascii="仿宋_GB2312"/>
                <w:sz w:val="20"/>
                <w:szCs w:val="21"/>
              </w:rPr>
            </w:pPr>
          </w:p>
        </w:tc>
        <w:tc>
          <w:tcPr>
            <w:tcW w:w="4602" w:type="dxa"/>
            <w:gridSpan w:val="3"/>
            <w:tcBorders>
              <w:top w:val="nil"/>
              <w:left w:val="nil"/>
              <w:bottom w:val="single" w:color="000000" w:sz="8" w:space="0"/>
              <w:right w:val="single" w:color="auto" w:sz="8" w:space="0"/>
            </w:tcBorders>
            <w:vAlign w:val="center"/>
          </w:tcPr>
          <w:p w14:paraId="7400A6A3">
            <w:pPr>
              <w:jc w:val="left"/>
              <w:rPr>
                <w:rFonts w:ascii="Times New Roman" w:hAnsi="Times New Roman" w:eastAsia="仿宋_GB2312"/>
                <w:sz w:val="20"/>
                <w:szCs w:val="21"/>
              </w:rPr>
            </w:pPr>
            <w:r>
              <w:rPr>
                <w:rFonts w:hint="eastAsia" w:ascii="Times New Roman" w:hAnsi="Times New Roman" w:eastAsia="仿宋_GB2312"/>
                <w:sz w:val="20"/>
                <w:szCs w:val="21"/>
              </w:rPr>
              <w:t>26.地表水达到或好于Ⅲ类水体比例（%）</w:t>
            </w:r>
          </w:p>
        </w:tc>
        <w:tc>
          <w:tcPr>
            <w:tcW w:w="1134" w:type="dxa"/>
            <w:tcBorders>
              <w:top w:val="single" w:color="auto" w:sz="8" w:space="0"/>
              <w:left w:val="single" w:color="auto" w:sz="8" w:space="0"/>
              <w:bottom w:val="single" w:color="auto" w:sz="8" w:space="0"/>
              <w:right w:val="single" w:color="auto" w:sz="8" w:space="0"/>
            </w:tcBorders>
            <w:vAlign w:val="center"/>
          </w:tcPr>
          <w:p w14:paraId="292FD5E1">
            <w:pPr>
              <w:jc w:val="center"/>
              <w:rPr>
                <w:rFonts w:ascii="Times New Roman" w:hAnsi="Times New Roman" w:eastAsia="仿宋_GB2312"/>
                <w:sz w:val="20"/>
                <w:szCs w:val="21"/>
              </w:rPr>
            </w:pPr>
            <w:r>
              <w:rPr>
                <w:rFonts w:hint="eastAsia" w:ascii="Times New Roman" w:hAnsi="Times New Roman" w:eastAsia="仿宋_GB2312"/>
                <w:sz w:val="20"/>
                <w:szCs w:val="21"/>
              </w:rPr>
              <w:t>100</w:t>
            </w:r>
          </w:p>
        </w:tc>
        <w:tc>
          <w:tcPr>
            <w:tcW w:w="1134" w:type="dxa"/>
            <w:tcBorders>
              <w:top w:val="single" w:color="auto" w:sz="8" w:space="0"/>
              <w:left w:val="single" w:color="auto" w:sz="8" w:space="0"/>
              <w:bottom w:val="single" w:color="auto" w:sz="8" w:space="0"/>
              <w:right w:val="single" w:color="auto" w:sz="8" w:space="0"/>
            </w:tcBorders>
            <w:vAlign w:val="center"/>
          </w:tcPr>
          <w:p w14:paraId="62FFED8B">
            <w:pPr>
              <w:jc w:val="center"/>
              <w:rPr>
                <w:rFonts w:ascii="Times New Roman" w:hAnsi="Times New Roman" w:eastAsia="仿宋_GB2312"/>
                <w:sz w:val="20"/>
                <w:szCs w:val="21"/>
              </w:rPr>
            </w:pPr>
            <w:r>
              <w:rPr>
                <w:rFonts w:hint="eastAsia" w:ascii="Times New Roman" w:hAnsi="Times New Roman" w:eastAsia="仿宋_GB2312"/>
                <w:sz w:val="20"/>
                <w:szCs w:val="21"/>
              </w:rPr>
              <w:t>100</w:t>
            </w:r>
          </w:p>
        </w:tc>
        <w:tc>
          <w:tcPr>
            <w:tcW w:w="821" w:type="dxa"/>
            <w:tcBorders>
              <w:top w:val="single" w:color="auto" w:sz="8" w:space="0"/>
              <w:left w:val="single" w:color="auto" w:sz="8" w:space="0"/>
              <w:bottom w:val="single" w:color="auto" w:sz="8" w:space="0"/>
              <w:right w:val="single" w:color="auto" w:sz="8" w:space="0"/>
            </w:tcBorders>
            <w:vAlign w:val="center"/>
          </w:tcPr>
          <w:p w14:paraId="548D87AD">
            <w:pPr>
              <w:jc w:val="center"/>
              <w:rPr>
                <w:rFonts w:ascii="Times New Roman" w:hAnsi="Times New Roman" w:eastAsia="仿宋_GB2312"/>
                <w:sz w:val="20"/>
                <w:szCs w:val="21"/>
              </w:rPr>
            </w:pPr>
            <w:r>
              <w:rPr>
                <w:rFonts w:hint="eastAsia" w:ascii="Times New Roman" w:hAnsi="Times New Roman" w:eastAsia="仿宋_GB2312"/>
                <w:sz w:val="20"/>
                <w:szCs w:val="21"/>
              </w:rPr>
              <w:t>—</w:t>
            </w:r>
          </w:p>
        </w:tc>
        <w:tc>
          <w:tcPr>
            <w:tcW w:w="879" w:type="dxa"/>
            <w:tcBorders>
              <w:top w:val="single" w:color="auto" w:sz="8" w:space="0"/>
              <w:left w:val="single" w:color="auto" w:sz="8" w:space="0"/>
              <w:bottom w:val="single" w:color="auto" w:sz="8" w:space="0"/>
              <w:right w:val="single" w:color="auto" w:sz="8" w:space="0"/>
            </w:tcBorders>
            <w:vAlign w:val="center"/>
          </w:tcPr>
          <w:p w14:paraId="6D7F8CDD">
            <w:pPr>
              <w:jc w:val="center"/>
              <w:rPr>
                <w:rFonts w:ascii="Times New Roman" w:hAnsi="Times New Roman" w:eastAsia="仿宋_GB2312"/>
                <w:sz w:val="20"/>
                <w:szCs w:val="21"/>
              </w:rPr>
            </w:pPr>
            <w:r>
              <w:rPr>
                <w:rFonts w:hint="eastAsia" w:ascii="Times New Roman" w:hAnsi="Times New Roman" w:eastAsia="仿宋_GB2312"/>
                <w:sz w:val="20"/>
                <w:szCs w:val="21"/>
              </w:rPr>
              <w:t>约束性</w:t>
            </w:r>
          </w:p>
        </w:tc>
      </w:tr>
      <w:tr w14:paraId="503F5F07">
        <w:tblPrEx>
          <w:tblCellMar>
            <w:top w:w="0" w:type="dxa"/>
            <w:left w:w="108" w:type="dxa"/>
            <w:bottom w:w="0" w:type="dxa"/>
            <w:right w:w="108" w:type="dxa"/>
          </w:tblCellMar>
        </w:tblPrEx>
        <w:trPr>
          <w:trHeight w:val="361" w:hRule="exact"/>
          <w:jc w:val="center"/>
        </w:trPr>
        <w:tc>
          <w:tcPr>
            <w:tcW w:w="416" w:type="dxa"/>
            <w:vMerge w:val="continue"/>
            <w:tcBorders>
              <w:left w:val="single" w:color="000000" w:sz="8" w:space="0"/>
              <w:bottom w:val="single" w:color="auto" w:sz="8" w:space="0"/>
              <w:right w:val="single" w:color="000000" w:sz="8" w:space="0"/>
            </w:tcBorders>
            <w:vAlign w:val="center"/>
          </w:tcPr>
          <w:p w14:paraId="22F52154">
            <w:pPr>
              <w:jc w:val="center"/>
              <w:rPr>
                <w:rFonts w:ascii="仿宋_GB2312"/>
                <w:sz w:val="20"/>
                <w:szCs w:val="21"/>
              </w:rPr>
            </w:pPr>
          </w:p>
        </w:tc>
        <w:tc>
          <w:tcPr>
            <w:tcW w:w="4602" w:type="dxa"/>
            <w:gridSpan w:val="3"/>
            <w:tcBorders>
              <w:top w:val="nil"/>
              <w:left w:val="nil"/>
              <w:bottom w:val="single" w:color="auto" w:sz="8" w:space="0"/>
              <w:right w:val="single" w:color="auto" w:sz="8" w:space="0"/>
            </w:tcBorders>
            <w:vAlign w:val="center"/>
          </w:tcPr>
          <w:p w14:paraId="3A917173">
            <w:pPr>
              <w:jc w:val="left"/>
              <w:rPr>
                <w:rFonts w:ascii="Times New Roman" w:hAnsi="Times New Roman" w:eastAsia="仿宋_GB2312"/>
                <w:sz w:val="20"/>
                <w:szCs w:val="21"/>
              </w:rPr>
            </w:pPr>
            <w:r>
              <w:rPr>
                <w:rFonts w:hint="eastAsia" w:ascii="Times New Roman" w:hAnsi="Times New Roman" w:eastAsia="仿宋_GB2312"/>
                <w:sz w:val="20"/>
                <w:szCs w:val="21"/>
              </w:rPr>
              <w:t>27.森林覆盖率（%）</w:t>
            </w:r>
          </w:p>
        </w:tc>
        <w:tc>
          <w:tcPr>
            <w:tcW w:w="1134" w:type="dxa"/>
            <w:tcBorders>
              <w:top w:val="single" w:color="auto" w:sz="8" w:space="0"/>
              <w:left w:val="single" w:color="auto" w:sz="8" w:space="0"/>
              <w:bottom w:val="single" w:color="auto" w:sz="8" w:space="0"/>
              <w:right w:val="single" w:color="auto" w:sz="8" w:space="0"/>
            </w:tcBorders>
            <w:vAlign w:val="center"/>
          </w:tcPr>
          <w:p w14:paraId="117EC51E">
            <w:pPr>
              <w:jc w:val="center"/>
              <w:rPr>
                <w:rFonts w:ascii="Times New Roman" w:hAnsi="Times New Roman" w:eastAsia="仿宋_GB2312"/>
                <w:sz w:val="20"/>
                <w:szCs w:val="21"/>
              </w:rPr>
            </w:pPr>
            <w:r>
              <w:rPr>
                <w:rFonts w:hint="eastAsia" w:ascii="Times New Roman" w:hAnsi="Times New Roman" w:eastAsia="仿宋_GB2312"/>
                <w:sz w:val="20"/>
                <w:szCs w:val="21"/>
              </w:rPr>
              <w:t>33.81</w:t>
            </w:r>
          </w:p>
        </w:tc>
        <w:tc>
          <w:tcPr>
            <w:tcW w:w="1134" w:type="dxa"/>
            <w:tcBorders>
              <w:top w:val="single" w:color="auto" w:sz="8" w:space="0"/>
              <w:left w:val="single" w:color="auto" w:sz="8" w:space="0"/>
              <w:bottom w:val="single" w:color="auto" w:sz="8" w:space="0"/>
              <w:right w:val="single" w:color="auto" w:sz="8" w:space="0"/>
            </w:tcBorders>
            <w:vAlign w:val="center"/>
          </w:tcPr>
          <w:p w14:paraId="76D7E57D">
            <w:pPr>
              <w:jc w:val="center"/>
              <w:rPr>
                <w:rFonts w:ascii="Times New Roman" w:hAnsi="Times New Roman" w:eastAsia="仿宋_GB2312"/>
                <w:sz w:val="20"/>
                <w:szCs w:val="21"/>
              </w:rPr>
            </w:pPr>
            <w:r>
              <w:rPr>
                <w:rFonts w:hint="eastAsia" w:ascii="Times New Roman" w:hAnsi="Times New Roman" w:eastAsia="仿宋_GB2312"/>
                <w:sz w:val="20"/>
                <w:szCs w:val="21"/>
              </w:rPr>
              <w:t>34</w:t>
            </w:r>
          </w:p>
        </w:tc>
        <w:tc>
          <w:tcPr>
            <w:tcW w:w="821" w:type="dxa"/>
            <w:tcBorders>
              <w:top w:val="single" w:color="auto" w:sz="8" w:space="0"/>
              <w:left w:val="single" w:color="auto" w:sz="8" w:space="0"/>
              <w:bottom w:val="single" w:color="auto" w:sz="8" w:space="0"/>
              <w:right w:val="single" w:color="auto" w:sz="8" w:space="0"/>
            </w:tcBorders>
            <w:vAlign w:val="center"/>
          </w:tcPr>
          <w:p w14:paraId="6B99D6A1">
            <w:pPr>
              <w:jc w:val="center"/>
              <w:rPr>
                <w:rFonts w:ascii="Times New Roman" w:hAnsi="Times New Roman" w:eastAsia="仿宋_GB2312"/>
                <w:sz w:val="20"/>
                <w:szCs w:val="21"/>
              </w:rPr>
            </w:pPr>
            <w:r>
              <w:rPr>
                <w:rFonts w:hint="eastAsia" w:ascii="Times New Roman" w:hAnsi="Times New Roman" w:eastAsia="仿宋_GB2312"/>
                <w:sz w:val="20"/>
                <w:szCs w:val="21"/>
              </w:rPr>
              <w:t>—</w:t>
            </w:r>
          </w:p>
        </w:tc>
        <w:tc>
          <w:tcPr>
            <w:tcW w:w="879" w:type="dxa"/>
            <w:tcBorders>
              <w:top w:val="single" w:color="auto" w:sz="8" w:space="0"/>
              <w:left w:val="single" w:color="auto" w:sz="8" w:space="0"/>
              <w:bottom w:val="single" w:color="auto" w:sz="8" w:space="0"/>
              <w:right w:val="single" w:color="auto" w:sz="8" w:space="0"/>
            </w:tcBorders>
            <w:vAlign w:val="center"/>
          </w:tcPr>
          <w:p w14:paraId="7FAC1EFC">
            <w:pPr>
              <w:jc w:val="center"/>
              <w:rPr>
                <w:rFonts w:ascii="Times New Roman" w:hAnsi="Times New Roman" w:eastAsia="仿宋_GB2312"/>
                <w:sz w:val="20"/>
                <w:szCs w:val="21"/>
              </w:rPr>
            </w:pPr>
            <w:r>
              <w:rPr>
                <w:rFonts w:hint="eastAsia" w:ascii="Times New Roman" w:hAnsi="Times New Roman" w:eastAsia="仿宋_GB2312"/>
                <w:sz w:val="20"/>
                <w:szCs w:val="21"/>
              </w:rPr>
              <w:t>约束性</w:t>
            </w:r>
          </w:p>
        </w:tc>
      </w:tr>
      <w:tr w14:paraId="2627749A">
        <w:tblPrEx>
          <w:tblCellMar>
            <w:top w:w="0" w:type="dxa"/>
            <w:left w:w="108" w:type="dxa"/>
            <w:bottom w:w="0" w:type="dxa"/>
            <w:right w:w="108" w:type="dxa"/>
          </w:tblCellMar>
        </w:tblPrEx>
        <w:trPr>
          <w:trHeight w:val="90" w:hRule="atLeast"/>
          <w:jc w:val="center"/>
        </w:trPr>
        <w:tc>
          <w:tcPr>
            <w:tcW w:w="416" w:type="dxa"/>
            <w:vMerge w:val="restart"/>
            <w:tcBorders>
              <w:top w:val="single" w:color="auto" w:sz="8" w:space="0"/>
              <w:left w:val="single" w:color="auto" w:sz="8" w:space="0"/>
              <w:bottom w:val="single" w:color="auto" w:sz="12" w:space="0"/>
              <w:right w:val="single" w:color="auto" w:sz="8" w:space="0"/>
            </w:tcBorders>
            <w:vAlign w:val="center"/>
          </w:tcPr>
          <w:p w14:paraId="21CE5AF0">
            <w:pPr>
              <w:jc w:val="center"/>
              <w:rPr>
                <w:rFonts w:ascii="仿宋_GB2312"/>
                <w:sz w:val="20"/>
                <w:szCs w:val="21"/>
              </w:rPr>
            </w:pPr>
            <w:r>
              <w:rPr>
                <w:rFonts w:hint="eastAsia" w:ascii="黑体" w:hAnsi="黑体" w:eastAsia="黑体" w:cs="黑体"/>
                <w:sz w:val="20"/>
                <w:szCs w:val="21"/>
              </w:rPr>
              <w:t>安全保障</w:t>
            </w:r>
          </w:p>
        </w:tc>
        <w:tc>
          <w:tcPr>
            <w:tcW w:w="4602" w:type="dxa"/>
            <w:gridSpan w:val="3"/>
            <w:tcBorders>
              <w:top w:val="single" w:color="auto" w:sz="8" w:space="0"/>
              <w:left w:val="single" w:color="auto" w:sz="8" w:space="0"/>
              <w:bottom w:val="single" w:color="auto" w:sz="12" w:space="0"/>
              <w:right w:val="single" w:color="auto" w:sz="8" w:space="0"/>
            </w:tcBorders>
            <w:vAlign w:val="center"/>
          </w:tcPr>
          <w:p w14:paraId="48DF2B50">
            <w:pPr>
              <w:jc w:val="left"/>
              <w:rPr>
                <w:rFonts w:hint="eastAsia" w:ascii="Times New Roman" w:hAnsi="Times New Roman" w:eastAsia="仿宋_GB2312"/>
                <w:sz w:val="20"/>
                <w:szCs w:val="21"/>
              </w:rPr>
            </w:pPr>
            <w:r>
              <w:rPr>
                <w:rFonts w:hint="eastAsia" w:ascii="Times New Roman" w:hAnsi="Times New Roman" w:eastAsia="仿宋_GB2312"/>
                <w:sz w:val="20"/>
                <w:szCs w:val="21"/>
              </w:rPr>
              <w:t>28.粮食综合生产能力（亿斤）</w:t>
            </w:r>
          </w:p>
        </w:tc>
        <w:tc>
          <w:tcPr>
            <w:tcW w:w="1134" w:type="dxa"/>
            <w:tcBorders>
              <w:top w:val="single" w:color="auto" w:sz="8" w:space="0"/>
              <w:left w:val="single" w:color="auto" w:sz="8" w:space="0"/>
              <w:bottom w:val="single" w:color="auto" w:sz="8" w:space="0"/>
              <w:right w:val="single" w:color="auto" w:sz="8" w:space="0"/>
            </w:tcBorders>
            <w:vAlign w:val="center"/>
          </w:tcPr>
          <w:p w14:paraId="4517103A">
            <w:pPr>
              <w:jc w:val="center"/>
              <w:rPr>
                <w:rFonts w:hint="default" w:ascii="Times New Roman" w:hAnsi="Times New Roman" w:eastAsia="仿宋_GB2312"/>
                <w:sz w:val="20"/>
                <w:szCs w:val="21"/>
                <w:lang w:val="en-US" w:eastAsia="zh-CN"/>
              </w:rPr>
            </w:pPr>
            <w:r>
              <w:rPr>
                <w:rFonts w:hint="eastAsia" w:ascii="Times New Roman" w:hAnsi="Times New Roman" w:eastAsia="仿宋_GB2312"/>
                <w:sz w:val="20"/>
                <w:szCs w:val="21"/>
              </w:rPr>
              <w:t>30</w:t>
            </w:r>
            <w:r>
              <w:rPr>
                <w:rFonts w:hint="eastAsia" w:ascii="Times New Roman" w:hAnsi="Times New Roman" w:eastAsia="仿宋_GB2312"/>
                <w:sz w:val="20"/>
                <w:szCs w:val="21"/>
                <w:lang w:val="en-US" w:eastAsia="zh-CN"/>
              </w:rPr>
              <w:t>.59</w:t>
            </w:r>
          </w:p>
        </w:tc>
        <w:tc>
          <w:tcPr>
            <w:tcW w:w="1134" w:type="dxa"/>
            <w:tcBorders>
              <w:top w:val="single" w:color="auto" w:sz="8" w:space="0"/>
              <w:left w:val="single" w:color="auto" w:sz="8" w:space="0"/>
              <w:bottom w:val="single" w:color="auto" w:sz="8" w:space="0"/>
              <w:right w:val="single" w:color="auto" w:sz="8" w:space="0"/>
            </w:tcBorders>
            <w:vAlign w:val="center"/>
          </w:tcPr>
          <w:p w14:paraId="06701F73">
            <w:pPr>
              <w:jc w:val="center"/>
              <w:rPr>
                <w:rFonts w:ascii="Times New Roman" w:hAnsi="Times New Roman" w:eastAsia="仿宋_GB2312"/>
                <w:sz w:val="20"/>
                <w:szCs w:val="21"/>
              </w:rPr>
            </w:pPr>
            <w:r>
              <w:rPr>
                <w:rFonts w:hint="eastAsia" w:ascii="Times New Roman" w:hAnsi="Times New Roman" w:eastAsia="仿宋_GB2312"/>
                <w:sz w:val="20"/>
                <w:szCs w:val="21"/>
              </w:rPr>
              <w:t>稳定在30左右</w:t>
            </w:r>
          </w:p>
        </w:tc>
        <w:tc>
          <w:tcPr>
            <w:tcW w:w="821" w:type="dxa"/>
            <w:tcBorders>
              <w:top w:val="single" w:color="auto" w:sz="8" w:space="0"/>
              <w:left w:val="single" w:color="auto" w:sz="8" w:space="0"/>
              <w:bottom w:val="single" w:color="auto" w:sz="8" w:space="0"/>
              <w:right w:val="single" w:color="auto" w:sz="8" w:space="0"/>
            </w:tcBorders>
            <w:vAlign w:val="center"/>
          </w:tcPr>
          <w:p w14:paraId="7B57C61C">
            <w:pPr>
              <w:jc w:val="center"/>
              <w:rPr>
                <w:rFonts w:ascii="Times New Roman" w:hAnsi="Times New Roman" w:eastAsia="仿宋_GB2312"/>
                <w:sz w:val="20"/>
                <w:szCs w:val="21"/>
              </w:rPr>
            </w:pPr>
            <w:r>
              <w:rPr>
                <w:rFonts w:hint="eastAsia" w:ascii="Times New Roman" w:hAnsi="Times New Roman" w:eastAsia="仿宋_GB2312"/>
                <w:sz w:val="20"/>
                <w:szCs w:val="21"/>
              </w:rPr>
              <w:t>—</w:t>
            </w:r>
          </w:p>
        </w:tc>
        <w:tc>
          <w:tcPr>
            <w:tcW w:w="879" w:type="dxa"/>
            <w:tcBorders>
              <w:top w:val="single" w:color="auto" w:sz="8" w:space="0"/>
              <w:left w:val="single" w:color="auto" w:sz="8" w:space="0"/>
              <w:bottom w:val="single" w:color="auto" w:sz="8" w:space="0"/>
              <w:right w:val="single" w:color="auto" w:sz="8" w:space="0"/>
            </w:tcBorders>
            <w:vAlign w:val="center"/>
          </w:tcPr>
          <w:p w14:paraId="5F6625C9">
            <w:pPr>
              <w:jc w:val="center"/>
              <w:rPr>
                <w:rFonts w:ascii="Times New Roman" w:hAnsi="Times New Roman" w:eastAsia="仿宋_GB2312"/>
                <w:sz w:val="20"/>
                <w:szCs w:val="21"/>
              </w:rPr>
            </w:pPr>
            <w:r>
              <w:rPr>
                <w:rFonts w:hint="eastAsia" w:ascii="Times New Roman" w:hAnsi="Times New Roman" w:eastAsia="仿宋_GB2312"/>
                <w:sz w:val="20"/>
                <w:szCs w:val="21"/>
              </w:rPr>
              <w:t>约束性</w:t>
            </w:r>
          </w:p>
        </w:tc>
      </w:tr>
      <w:tr w14:paraId="13545FAA">
        <w:tblPrEx>
          <w:tblCellMar>
            <w:top w:w="0" w:type="dxa"/>
            <w:left w:w="108" w:type="dxa"/>
            <w:bottom w:w="0" w:type="dxa"/>
            <w:right w:w="108" w:type="dxa"/>
          </w:tblCellMar>
        </w:tblPrEx>
        <w:trPr>
          <w:trHeight w:val="314" w:hRule="atLeast"/>
          <w:jc w:val="center"/>
        </w:trPr>
        <w:tc>
          <w:tcPr>
            <w:tcW w:w="416" w:type="dxa"/>
            <w:vMerge w:val="continue"/>
            <w:tcBorders>
              <w:left w:val="single" w:color="auto" w:sz="8" w:space="0"/>
              <w:bottom w:val="single" w:color="auto" w:sz="8" w:space="0"/>
              <w:right w:val="single" w:color="auto" w:sz="8" w:space="0"/>
            </w:tcBorders>
            <w:vAlign w:val="center"/>
          </w:tcPr>
          <w:p w14:paraId="5C16D5F1">
            <w:pPr>
              <w:jc w:val="left"/>
              <w:rPr>
                <w:rFonts w:ascii="仿宋_GB2312"/>
                <w:sz w:val="20"/>
                <w:szCs w:val="21"/>
              </w:rPr>
            </w:pPr>
          </w:p>
        </w:tc>
        <w:tc>
          <w:tcPr>
            <w:tcW w:w="4602" w:type="dxa"/>
            <w:gridSpan w:val="3"/>
            <w:tcBorders>
              <w:top w:val="single" w:color="auto" w:sz="12" w:space="0"/>
              <w:left w:val="single" w:color="auto" w:sz="8" w:space="0"/>
              <w:bottom w:val="single" w:color="auto" w:sz="8" w:space="0"/>
              <w:right w:val="single" w:color="auto" w:sz="8" w:space="0"/>
            </w:tcBorders>
            <w:vAlign w:val="center"/>
          </w:tcPr>
          <w:p w14:paraId="1A339F23">
            <w:pPr>
              <w:jc w:val="left"/>
              <w:rPr>
                <w:rFonts w:hint="eastAsia" w:ascii="Times New Roman" w:hAnsi="Times New Roman" w:eastAsia="仿宋_GB2312"/>
                <w:sz w:val="20"/>
                <w:szCs w:val="21"/>
              </w:rPr>
            </w:pPr>
            <w:r>
              <w:rPr>
                <w:rFonts w:hint="eastAsia" w:ascii="Times New Roman" w:hAnsi="Times New Roman" w:eastAsia="仿宋_GB2312"/>
                <w:sz w:val="20"/>
                <w:szCs w:val="21"/>
              </w:rPr>
              <w:t>29.高标准农田占耕地面积（%）</w:t>
            </w:r>
          </w:p>
        </w:tc>
        <w:tc>
          <w:tcPr>
            <w:tcW w:w="1134" w:type="dxa"/>
            <w:tcBorders>
              <w:top w:val="single" w:color="auto" w:sz="8" w:space="0"/>
              <w:left w:val="single" w:color="auto" w:sz="8" w:space="0"/>
              <w:bottom w:val="single" w:color="auto" w:sz="8" w:space="0"/>
              <w:right w:val="single" w:color="auto" w:sz="8" w:space="0"/>
            </w:tcBorders>
            <w:vAlign w:val="center"/>
          </w:tcPr>
          <w:p w14:paraId="324B5E68">
            <w:pPr>
              <w:jc w:val="center"/>
              <w:rPr>
                <w:rFonts w:hint="eastAsia" w:ascii="Times New Roman" w:hAnsi="Times New Roman" w:eastAsia="仿宋_GB2312"/>
                <w:sz w:val="20"/>
                <w:szCs w:val="21"/>
                <w:lang w:eastAsia="zh-CN"/>
              </w:rPr>
            </w:pPr>
            <w:r>
              <w:rPr>
                <w:rFonts w:hint="eastAsia" w:ascii="Times New Roman" w:hAnsi="Times New Roman" w:eastAsia="仿宋_GB2312"/>
                <w:sz w:val="20"/>
                <w:szCs w:val="21"/>
              </w:rPr>
              <w:t>64.</w:t>
            </w:r>
            <w:r>
              <w:rPr>
                <w:rFonts w:hint="eastAsia" w:ascii="Times New Roman" w:hAnsi="Times New Roman" w:eastAsia="仿宋_GB2312"/>
                <w:sz w:val="20"/>
                <w:szCs w:val="21"/>
                <w:lang w:val="en-US" w:eastAsia="zh-CN"/>
              </w:rPr>
              <w:t>5</w:t>
            </w:r>
          </w:p>
        </w:tc>
        <w:tc>
          <w:tcPr>
            <w:tcW w:w="1134" w:type="dxa"/>
            <w:tcBorders>
              <w:top w:val="single" w:color="auto" w:sz="8" w:space="0"/>
              <w:left w:val="single" w:color="auto" w:sz="8" w:space="0"/>
              <w:bottom w:val="single" w:color="auto" w:sz="8" w:space="0"/>
              <w:right w:val="single" w:color="auto" w:sz="8" w:space="0"/>
            </w:tcBorders>
            <w:vAlign w:val="center"/>
          </w:tcPr>
          <w:p w14:paraId="0C24261F">
            <w:pPr>
              <w:jc w:val="center"/>
              <w:rPr>
                <w:rFonts w:hint="eastAsia" w:ascii="Times New Roman" w:hAnsi="Times New Roman" w:eastAsia="仿宋_GB2312"/>
                <w:sz w:val="20"/>
                <w:szCs w:val="21"/>
              </w:rPr>
            </w:pPr>
            <w:r>
              <w:rPr>
                <w:rFonts w:hint="eastAsia" w:ascii="Times New Roman" w:hAnsi="Times New Roman" w:eastAsia="仿宋_GB2312"/>
                <w:sz w:val="20"/>
                <w:szCs w:val="21"/>
              </w:rPr>
              <w:t>84</w:t>
            </w:r>
          </w:p>
        </w:tc>
        <w:tc>
          <w:tcPr>
            <w:tcW w:w="821" w:type="dxa"/>
            <w:tcBorders>
              <w:top w:val="single" w:color="auto" w:sz="8" w:space="0"/>
              <w:left w:val="single" w:color="auto" w:sz="8" w:space="0"/>
              <w:bottom w:val="single" w:color="auto" w:sz="8" w:space="0"/>
              <w:right w:val="single" w:color="auto" w:sz="8" w:space="0"/>
            </w:tcBorders>
            <w:vAlign w:val="center"/>
          </w:tcPr>
          <w:p w14:paraId="429CD2EE">
            <w:pPr>
              <w:jc w:val="center"/>
              <w:rPr>
                <w:rFonts w:hint="default" w:ascii="Times New Roman" w:hAnsi="Times New Roman" w:eastAsia="仿宋_GB2312"/>
                <w:sz w:val="20"/>
                <w:szCs w:val="21"/>
                <w:lang w:val="en-US" w:eastAsia="zh-CN"/>
              </w:rPr>
            </w:pPr>
            <w:r>
              <w:rPr>
                <w:rFonts w:hint="eastAsia" w:ascii="Times New Roman" w:hAnsi="Times New Roman" w:eastAsia="仿宋_GB2312"/>
                <w:sz w:val="20"/>
                <w:szCs w:val="21"/>
                <w:lang w:val="en-US" w:eastAsia="zh-CN"/>
              </w:rPr>
              <w:t>5.4</w:t>
            </w:r>
          </w:p>
        </w:tc>
        <w:tc>
          <w:tcPr>
            <w:tcW w:w="879" w:type="dxa"/>
            <w:tcBorders>
              <w:top w:val="single" w:color="auto" w:sz="8" w:space="0"/>
              <w:left w:val="single" w:color="auto" w:sz="8" w:space="0"/>
              <w:bottom w:val="single" w:color="auto" w:sz="8" w:space="0"/>
              <w:right w:val="single" w:color="auto" w:sz="8" w:space="0"/>
            </w:tcBorders>
            <w:vAlign w:val="center"/>
          </w:tcPr>
          <w:p w14:paraId="01C416EB">
            <w:pPr>
              <w:jc w:val="center"/>
              <w:rPr>
                <w:rFonts w:ascii="Times New Roman" w:hAnsi="Times New Roman" w:eastAsia="仿宋_GB2312"/>
                <w:color w:val="FF0000"/>
                <w:sz w:val="20"/>
                <w:szCs w:val="21"/>
              </w:rPr>
            </w:pPr>
            <w:r>
              <w:rPr>
                <w:rFonts w:hint="eastAsia" w:ascii="Times New Roman" w:hAnsi="Times New Roman" w:eastAsia="仿宋_GB2312"/>
                <w:sz w:val="20"/>
                <w:szCs w:val="21"/>
              </w:rPr>
              <w:t>预期性</w:t>
            </w:r>
          </w:p>
        </w:tc>
      </w:tr>
    </w:tbl>
    <w:p w14:paraId="5CC020A1">
      <w:pPr>
        <w:adjustRightInd w:val="0"/>
        <w:snapToGrid w:val="0"/>
        <w:jc w:val="left"/>
        <w:rPr>
          <w:rFonts w:hint="eastAsia" w:ascii="Times New Roman" w:hAnsi="Times New Roman" w:eastAsia="仿宋_GB2312"/>
          <w:sz w:val="20"/>
          <w:szCs w:val="21"/>
        </w:rPr>
      </w:pPr>
      <w:r>
        <w:rPr>
          <w:rFonts w:hint="eastAsia" w:ascii="Times New Roman" w:hAnsi="Times New Roman" w:eastAsia="仿宋_GB2312"/>
          <w:sz w:val="20"/>
          <w:szCs w:val="21"/>
        </w:rPr>
        <w:t>注1：地区生产总值、人均地区生产总值、全员劳动生产率的增速均按不变价计算，地区生产总值、人均地区生产总值的绝对值均按现价计算。</w:t>
      </w:r>
    </w:p>
    <w:p w14:paraId="5F72BC18">
      <w:pPr>
        <w:adjustRightInd w:val="0"/>
        <w:snapToGrid w:val="0"/>
        <w:jc w:val="left"/>
        <w:rPr>
          <w:rFonts w:ascii="Times New Roman" w:hAnsi="Times New Roman" w:eastAsia="仿宋_GB2312"/>
          <w:sz w:val="20"/>
          <w:szCs w:val="21"/>
        </w:rPr>
      </w:pPr>
      <w:r>
        <w:rPr>
          <w:rFonts w:hint="eastAsia" w:ascii="Times New Roman" w:hAnsi="Times New Roman" w:eastAsia="仿宋_GB2312"/>
          <w:sz w:val="20"/>
          <w:szCs w:val="21"/>
        </w:rPr>
        <w:t>注2：固定资产投资、进出口总额、社会消费品零售总额、研发经费投入、居民人均可支配收入的增速，以及进出口总额、社会消费品零售总额的绝对值均按现价计算。</w:t>
      </w:r>
    </w:p>
    <w:p w14:paraId="46AF9CC3">
      <w:pPr>
        <w:jc w:val="left"/>
      </w:pPr>
      <w:r>
        <w:br w:type="page"/>
      </w:r>
    </w:p>
    <w:p w14:paraId="4EA348C7">
      <w:pPr>
        <w:pStyle w:val="3"/>
        <w:spacing w:before="100" w:beforeAutospacing="1" w:after="100" w:afterAutospacing="1"/>
        <w:jc w:val="center"/>
        <w:rPr>
          <w:rFonts w:eastAsia="方正小标宋简体"/>
        </w:rPr>
      </w:pPr>
      <w:bookmarkStart w:id="10" w:name="_Toc21813"/>
      <w:bookmarkStart w:id="11" w:name="_Toc53003428"/>
      <w:r>
        <w:rPr>
          <w:rFonts w:hint="eastAsia" w:eastAsia="方正小标宋简体"/>
        </w:rPr>
        <w:t>强化科技创新，增强跨越发展新动能</w:t>
      </w:r>
      <w:bookmarkEnd w:id="10"/>
      <w:bookmarkEnd w:id="11"/>
    </w:p>
    <w:p w14:paraId="570FA56B">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坚持创新在现代化建设全局中的核心地位，坚持创新驱动发展，全面实施“1143”创新行动，不断优化创新环境、聚集创新资源、构建创新网络，推动协同创新，</w:t>
      </w:r>
      <w:r>
        <w:rPr>
          <w:rFonts w:hint="eastAsia" w:ascii="Times New Roman" w:hAnsi="Times New Roman" w:eastAsia="仿宋_GB2312"/>
          <w:color w:val="000000" w:themeColor="text1"/>
          <w:sz w:val="32"/>
          <w:szCs w:val="32"/>
        </w:rPr>
        <w:t>争创国家创新型县（市），打造智慧县域创新高地</w:t>
      </w:r>
      <w:r>
        <w:rPr>
          <w:rFonts w:hint="eastAsia" w:ascii="Times New Roman" w:hAnsi="Times New Roman" w:eastAsia="仿宋_GB2312"/>
          <w:sz w:val="32"/>
          <w:szCs w:val="32"/>
        </w:rPr>
        <w:t>。</w:t>
      </w:r>
    </w:p>
    <w:p w14:paraId="719F2A9D">
      <w:pPr>
        <w:spacing w:before="100" w:beforeAutospacing="1" w:after="100" w:afterAutospacing="1"/>
        <w:jc w:val="center"/>
        <w:outlineLvl w:val="1"/>
        <w:rPr>
          <w:rFonts w:ascii="Times New Roman" w:hAnsi="Times New Roman" w:eastAsia="黑体"/>
          <w:sz w:val="32"/>
          <w:szCs w:val="32"/>
        </w:rPr>
      </w:pPr>
      <w:bookmarkStart w:id="12" w:name="_Toc29947"/>
      <w:r>
        <w:rPr>
          <w:rFonts w:hint="eastAsia" w:ascii="Times New Roman" w:hAnsi="Times New Roman" w:eastAsia="黑体"/>
          <w:sz w:val="32"/>
          <w:szCs w:val="32"/>
        </w:rPr>
        <w:t>第一节</w:t>
      </w:r>
      <w:r>
        <w:rPr>
          <w:rFonts w:hint="eastAsia" w:ascii="Times New Roman" w:hAnsi="Times New Roman" w:eastAsia="黑体"/>
          <w:sz w:val="32"/>
          <w:szCs w:val="32"/>
          <w:lang w:val="en-US" w:eastAsia="zh-CN"/>
        </w:rPr>
        <w:t xml:space="preserve"> </w:t>
      </w:r>
      <w:r>
        <w:rPr>
          <w:rFonts w:hint="eastAsia" w:ascii="Times New Roman" w:hAnsi="Times New Roman" w:eastAsia="黑体"/>
          <w:sz w:val="32"/>
          <w:szCs w:val="32"/>
        </w:rPr>
        <w:t>激发企业自主创新活力</w:t>
      </w:r>
      <w:bookmarkEnd w:id="12"/>
    </w:p>
    <w:p w14:paraId="4111C500">
      <w:pPr>
        <w:pStyle w:val="9"/>
        <w:ind w:firstLine="643"/>
        <w:rPr>
          <w:rFonts w:ascii="Times New Roman" w:hAnsi="Times New Roman" w:eastAsia="仿宋_GB2312"/>
          <w:sz w:val="32"/>
          <w:szCs w:val="32"/>
        </w:rPr>
      </w:pPr>
      <w:bookmarkStart w:id="13" w:name="_Toc53003429"/>
      <w:r>
        <w:rPr>
          <w:rFonts w:hint="eastAsia" w:ascii="Times New Roman" w:hAnsi="Times New Roman" w:eastAsia="仿宋_GB2312"/>
          <w:b/>
          <w:sz w:val="32"/>
          <w:szCs w:val="32"/>
        </w:rPr>
        <w:t>强化</w:t>
      </w:r>
      <w:r>
        <w:rPr>
          <w:rFonts w:ascii="Times New Roman" w:hAnsi="Times New Roman" w:eastAsia="仿宋_GB2312"/>
          <w:b/>
          <w:sz w:val="32"/>
          <w:szCs w:val="32"/>
        </w:rPr>
        <w:t>企业创新主体地位。</w:t>
      </w:r>
      <w:r>
        <w:rPr>
          <w:rFonts w:ascii="Times New Roman" w:hAnsi="Times New Roman" w:eastAsia="仿宋_GB2312"/>
          <w:sz w:val="32"/>
          <w:szCs w:val="32"/>
        </w:rPr>
        <w:t>充分发挥企业在技术创新决策、科研组织、成果转化和研发投入中的主导作用，引导和支持人才、资金、专利等创新要素向企业集聚。</w:t>
      </w:r>
      <w:r>
        <w:rPr>
          <w:rFonts w:hint="eastAsia" w:ascii="Times New Roman" w:hAnsi="Times New Roman" w:eastAsia="仿宋_GB2312"/>
          <w:sz w:val="32"/>
          <w:szCs w:val="32"/>
        </w:rPr>
        <w:t>实施高新技术企业倍增计划、规上企业研发全覆盖计划，建立科技型企业培育库，打造一批行业领军企业。支持龙头企业持续加强技术创新，强化基础技术支撑和产业链引擎作用，保持技术领先优势。</w:t>
      </w:r>
      <w:r>
        <w:rPr>
          <w:rFonts w:ascii="Times New Roman" w:hAnsi="Times New Roman" w:eastAsia="仿宋_GB2312"/>
          <w:sz w:val="32"/>
          <w:szCs w:val="32"/>
        </w:rPr>
        <w:t>鼓励企业围绕</w:t>
      </w:r>
      <w:r>
        <w:rPr>
          <w:rFonts w:hint="eastAsia" w:ascii="Times New Roman" w:hAnsi="Times New Roman" w:eastAsia="仿宋_GB2312"/>
          <w:sz w:val="32"/>
          <w:szCs w:val="32"/>
          <w:lang w:val="en-US" w:eastAsia="zh-CN"/>
        </w:rPr>
        <w:t>绿色包装</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机电装备</w:t>
      </w:r>
      <w:r>
        <w:rPr>
          <w:rFonts w:ascii="Times New Roman" w:hAnsi="Times New Roman" w:eastAsia="仿宋_GB2312"/>
          <w:sz w:val="32"/>
          <w:szCs w:val="32"/>
        </w:rPr>
        <w:t>等领域，加大科技投入，开展关键共性技术研发，支持有条件的领军企业牵头实施产业化目标明确的重大科研项目。</w:t>
      </w:r>
      <w:r>
        <w:rPr>
          <w:rFonts w:hint="eastAsia" w:ascii="Times New Roman" w:hAnsi="Times New Roman" w:eastAsia="仿宋_GB2312"/>
          <w:sz w:val="32"/>
          <w:szCs w:val="32"/>
        </w:rPr>
        <w:t>积极创建</w:t>
      </w:r>
      <w:r>
        <w:rPr>
          <w:rFonts w:ascii="Times New Roman" w:hAnsi="Times New Roman" w:eastAsia="仿宋_GB2312"/>
          <w:sz w:val="32"/>
          <w:szCs w:val="32"/>
        </w:rPr>
        <w:t>国家知识产权强县工程试点</w:t>
      </w:r>
      <w:r>
        <w:rPr>
          <w:rFonts w:hint="eastAsia" w:ascii="Times New Roman" w:hAnsi="Times New Roman" w:eastAsia="仿宋_GB2312"/>
          <w:sz w:val="32"/>
          <w:szCs w:val="32"/>
        </w:rPr>
        <w:t>县</w:t>
      </w:r>
      <w:r>
        <w:rPr>
          <w:rFonts w:ascii="Times New Roman" w:hAnsi="Times New Roman" w:eastAsia="仿宋_GB2312"/>
          <w:sz w:val="32"/>
          <w:szCs w:val="32"/>
        </w:rPr>
        <w:t>，提高企业</w:t>
      </w:r>
      <w:r>
        <w:rPr>
          <w:rFonts w:hint="eastAsia" w:ascii="Times New Roman" w:hAnsi="Times New Roman" w:eastAsia="仿宋_GB2312"/>
          <w:sz w:val="32"/>
          <w:szCs w:val="32"/>
        </w:rPr>
        <w:t>高价值</w:t>
      </w:r>
      <w:r>
        <w:rPr>
          <w:rFonts w:ascii="Times New Roman" w:hAnsi="Times New Roman" w:eastAsia="仿宋_GB2312"/>
          <w:sz w:val="32"/>
          <w:szCs w:val="32"/>
        </w:rPr>
        <w:t>专利产出水平。</w:t>
      </w:r>
      <w:r>
        <w:rPr>
          <w:rFonts w:hint="eastAsia" w:ascii="Times New Roman" w:hAnsi="Times New Roman" w:eastAsia="仿宋_GB2312"/>
          <w:sz w:val="32"/>
          <w:szCs w:val="32"/>
        </w:rPr>
        <w:t>到2025年，高新技术企业数量达到100家。</w:t>
      </w:r>
    </w:p>
    <w:p w14:paraId="07B22005">
      <w:pPr>
        <w:spacing w:line="360" w:lineRule="auto"/>
        <w:ind w:firstLine="643" w:firstLineChars="200"/>
        <w:rPr>
          <w:rFonts w:ascii="Times New Roman" w:hAnsi="Times New Roman" w:eastAsia="仿宋_GB2312"/>
          <w:sz w:val="32"/>
          <w:szCs w:val="32"/>
        </w:rPr>
      </w:pPr>
      <w:r>
        <w:rPr>
          <w:rFonts w:ascii="Times New Roman" w:hAnsi="Times New Roman" w:eastAsia="仿宋_GB2312"/>
          <w:b/>
          <w:sz w:val="32"/>
          <w:szCs w:val="32"/>
        </w:rPr>
        <w:t>加大中小企业扶持力度。</w:t>
      </w:r>
      <w:r>
        <w:rPr>
          <w:rFonts w:hint="eastAsia" w:ascii="Times New Roman" w:hAnsi="Times New Roman" w:eastAsia="仿宋_GB2312"/>
          <w:sz w:val="32"/>
          <w:szCs w:val="32"/>
        </w:rPr>
        <w:t>实施中小微科技型企业梯度培育计划，</w:t>
      </w:r>
      <w:r>
        <w:rPr>
          <w:rFonts w:ascii="Times New Roman" w:hAnsi="Times New Roman" w:eastAsia="仿宋_GB2312"/>
          <w:sz w:val="32"/>
          <w:szCs w:val="32"/>
        </w:rPr>
        <w:t>充分发挥省“三重一创” 等产业发展基金作用，按照企业初创期、成长期和成熟期制定差别化扶持政策，引导中小企业以产业链专业分工方式进行模块化创新，形成集聚集群。完善科技型中小企业综合服务体系，引导中小企业实现专门技术突破。促进科技型小微企业向新技术、新模式和新业态转型，推动中小企业向“专精特新”方向发展。</w:t>
      </w:r>
    </w:p>
    <w:p w14:paraId="263D9A5D">
      <w:pPr>
        <w:spacing w:before="100" w:beforeAutospacing="1" w:after="100" w:afterAutospacing="1"/>
        <w:jc w:val="center"/>
        <w:outlineLvl w:val="1"/>
        <w:rPr>
          <w:rFonts w:ascii="Times New Roman" w:hAnsi="Times New Roman" w:eastAsia="黑体"/>
          <w:sz w:val="32"/>
          <w:szCs w:val="32"/>
        </w:rPr>
      </w:pPr>
      <w:bookmarkStart w:id="14" w:name="_Toc11561"/>
      <w:r>
        <w:rPr>
          <w:rFonts w:ascii="Times New Roman" w:hAnsi="Times New Roman" w:eastAsia="黑体"/>
          <w:sz w:val="32"/>
          <w:szCs w:val="32"/>
        </w:rPr>
        <w:t>第</w:t>
      </w:r>
      <w:r>
        <w:rPr>
          <w:rFonts w:hint="eastAsia" w:ascii="Times New Roman" w:hAnsi="Times New Roman" w:eastAsia="黑体"/>
          <w:sz w:val="32"/>
          <w:szCs w:val="32"/>
        </w:rPr>
        <w:t>二</w:t>
      </w:r>
      <w:r>
        <w:rPr>
          <w:rFonts w:ascii="Times New Roman" w:hAnsi="Times New Roman" w:eastAsia="黑体"/>
          <w:sz w:val="32"/>
          <w:szCs w:val="32"/>
        </w:rPr>
        <w:t>节</w:t>
      </w:r>
      <w:bookmarkEnd w:id="13"/>
      <w:r>
        <w:rPr>
          <w:rFonts w:hint="eastAsia" w:ascii="Times New Roman" w:hAnsi="Times New Roman" w:eastAsia="黑体"/>
          <w:sz w:val="32"/>
          <w:szCs w:val="32"/>
          <w:lang w:val="en-US" w:eastAsia="zh-CN"/>
        </w:rPr>
        <w:t xml:space="preserve"> </w:t>
      </w:r>
      <w:r>
        <w:rPr>
          <w:rFonts w:hint="eastAsia" w:ascii="Times New Roman" w:hAnsi="Times New Roman" w:eastAsia="黑体"/>
          <w:sz w:val="32"/>
          <w:szCs w:val="32"/>
        </w:rPr>
        <w:t>广泛集聚人才资源</w:t>
      </w:r>
      <w:bookmarkEnd w:id="14"/>
    </w:p>
    <w:p w14:paraId="1AD75786">
      <w:pPr>
        <w:spacing w:line="360" w:lineRule="auto"/>
        <w:ind w:firstLine="643" w:firstLineChars="200"/>
        <w:rPr>
          <w:rFonts w:ascii="Times New Roman" w:hAnsi="Times New Roman" w:eastAsia="仿宋_GB2312"/>
          <w:sz w:val="32"/>
          <w:szCs w:val="32"/>
        </w:rPr>
      </w:pPr>
      <w:r>
        <w:rPr>
          <w:rFonts w:ascii="Times New Roman" w:hAnsi="Times New Roman" w:eastAsia="仿宋_GB2312"/>
          <w:b/>
          <w:sz w:val="32"/>
          <w:szCs w:val="32"/>
        </w:rPr>
        <w:t>加快</w:t>
      </w:r>
      <w:r>
        <w:rPr>
          <w:rFonts w:hint="eastAsia" w:ascii="Times New Roman" w:hAnsi="Times New Roman" w:eastAsia="仿宋_GB2312"/>
          <w:b/>
          <w:sz w:val="32"/>
          <w:szCs w:val="32"/>
        </w:rPr>
        <w:t>高层次科研</w:t>
      </w:r>
      <w:r>
        <w:rPr>
          <w:rFonts w:ascii="Times New Roman" w:hAnsi="Times New Roman" w:eastAsia="仿宋_GB2312"/>
          <w:b/>
          <w:sz w:val="32"/>
          <w:szCs w:val="32"/>
        </w:rPr>
        <w:t>人才引进。</w:t>
      </w:r>
      <w:r>
        <w:rPr>
          <w:rFonts w:ascii="Times New Roman" w:hAnsi="Times New Roman" w:eastAsia="仿宋_GB2312"/>
          <w:sz w:val="32"/>
          <w:szCs w:val="32"/>
        </w:rPr>
        <w:t>发挥</w:t>
      </w:r>
      <w:r>
        <w:rPr>
          <w:rFonts w:hint="eastAsia" w:ascii="Times New Roman" w:hAnsi="Times New Roman" w:eastAsia="仿宋_GB2312"/>
          <w:sz w:val="32"/>
          <w:szCs w:val="32"/>
        </w:rPr>
        <w:t>在外</w:t>
      </w:r>
      <w:r>
        <w:rPr>
          <w:rFonts w:ascii="Times New Roman" w:hAnsi="Times New Roman" w:eastAsia="仿宋_GB2312"/>
          <w:sz w:val="32"/>
          <w:szCs w:val="32"/>
        </w:rPr>
        <w:t>桐城籍</w:t>
      </w:r>
      <w:r>
        <w:rPr>
          <w:rFonts w:hint="eastAsia" w:ascii="Times New Roman" w:hAnsi="Times New Roman" w:eastAsia="仿宋_GB2312"/>
          <w:sz w:val="32"/>
          <w:szCs w:val="32"/>
        </w:rPr>
        <w:t>高层次人才</w:t>
      </w:r>
      <w:r>
        <w:rPr>
          <w:rFonts w:ascii="Times New Roman" w:hAnsi="Times New Roman" w:eastAsia="仿宋_GB2312"/>
          <w:sz w:val="32"/>
          <w:szCs w:val="32"/>
        </w:rPr>
        <w:t>优势，推进桐城院士主题园建设，</w:t>
      </w:r>
      <w:r>
        <w:rPr>
          <w:rFonts w:hint="eastAsia" w:ascii="Times New Roman" w:hAnsi="Times New Roman" w:eastAsia="仿宋_GB2312"/>
          <w:sz w:val="32"/>
          <w:szCs w:val="32"/>
        </w:rPr>
        <w:t>促进“桐城人经济”和桐城经济融合发展</w:t>
      </w:r>
      <w:r>
        <w:rPr>
          <w:rFonts w:ascii="Times New Roman" w:hAnsi="Times New Roman" w:eastAsia="仿宋_GB2312"/>
          <w:sz w:val="32"/>
          <w:szCs w:val="32"/>
        </w:rPr>
        <w:t>。</w:t>
      </w:r>
      <w:r>
        <w:rPr>
          <w:rFonts w:hint="eastAsia" w:ascii="Times New Roman" w:hAnsi="Times New Roman" w:eastAsia="仿宋_GB2312"/>
          <w:sz w:val="32"/>
          <w:szCs w:val="32"/>
        </w:rPr>
        <w:t>积极</w:t>
      </w:r>
      <w:r>
        <w:rPr>
          <w:rFonts w:ascii="Times New Roman" w:hAnsi="Times New Roman" w:eastAsia="仿宋_GB2312"/>
          <w:sz w:val="32"/>
          <w:szCs w:val="32"/>
        </w:rPr>
        <w:t>引进海外及长三角高层次创新创业人才团队，</w:t>
      </w:r>
      <w:r>
        <w:rPr>
          <w:rFonts w:hint="eastAsia" w:ascii="Times New Roman" w:hAnsi="Times New Roman" w:eastAsia="仿宋_GB2312"/>
          <w:sz w:val="32"/>
          <w:szCs w:val="32"/>
        </w:rPr>
        <w:t>鼓励省内外高校、科研院所、国有企事业单位的科技人员来桐城创新创业，</w:t>
      </w:r>
      <w:r>
        <w:rPr>
          <w:rFonts w:ascii="Times New Roman" w:hAnsi="Times New Roman" w:eastAsia="仿宋_GB2312"/>
          <w:sz w:val="32"/>
          <w:szCs w:val="32"/>
        </w:rPr>
        <w:t>推动人才创新创业基地建设。</w:t>
      </w:r>
    </w:p>
    <w:p w14:paraId="674B9FB7">
      <w:pPr>
        <w:ind w:firstLine="643" w:firstLineChars="200"/>
        <w:rPr>
          <w:rFonts w:ascii="Times New Roman" w:hAnsi="Times New Roman" w:eastAsia="仿宋_GB2312"/>
          <w:sz w:val="32"/>
          <w:szCs w:val="32"/>
        </w:rPr>
      </w:pPr>
      <w:r>
        <w:rPr>
          <w:rFonts w:hint="eastAsia" w:ascii="Times New Roman" w:hAnsi="Times New Roman" w:eastAsia="仿宋_GB2312"/>
          <w:b/>
          <w:color w:val="000000" w:themeColor="text1"/>
          <w:sz w:val="32"/>
          <w:szCs w:val="32"/>
        </w:rPr>
        <w:t>加强专业</w:t>
      </w:r>
      <w:r>
        <w:rPr>
          <w:rFonts w:ascii="Times New Roman" w:hAnsi="Times New Roman" w:eastAsia="仿宋_GB2312"/>
          <w:b/>
          <w:color w:val="000000" w:themeColor="text1"/>
          <w:sz w:val="32"/>
          <w:szCs w:val="32"/>
        </w:rPr>
        <w:t>技能人才</w:t>
      </w:r>
      <w:r>
        <w:rPr>
          <w:rFonts w:hint="eastAsia" w:ascii="Times New Roman" w:hAnsi="Times New Roman" w:eastAsia="仿宋_GB2312"/>
          <w:b/>
          <w:color w:val="000000" w:themeColor="text1"/>
          <w:sz w:val="32"/>
          <w:szCs w:val="32"/>
        </w:rPr>
        <w:t>培育</w:t>
      </w:r>
      <w:r>
        <w:rPr>
          <w:rFonts w:ascii="Times New Roman" w:hAnsi="Times New Roman" w:eastAsia="仿宋_GB2312"/>
          <w:b/>
          <w:color w:val="000000" w:themeColor="text1"/>
          <w:sz w:val="32"/>
          <w:szCs w:val="32"/>
        </w:rPr>
        <w:t>。</w:t>
      </w:r>
      <w:r>
        <w:rPr>
          <w:rFonts w:hint="eastAsia" w:ascii="Times New Roman" w:hAnsi="Times New Roman" w:eastAsia="仿宋_GB2312"/>
          <w:sz w:val="32"/>
          <w:szCs w:val="32"/>
        </w:rPr>
        <w:t>积极培育和引进企业经营管理人才、产业高层次急需人才、新兴产业专业技能人才和专业招商人才。</w:t>
      </w:r>
      <w:r>
        <w:rPr>
          <w:rFonts w:ascii="Times New Roman" w:hAnsi="Times New Roman" w:eastAsia="仿宋_GB2312"/>
          <w:sz w:val="32"/>
          <w:szCs w:val="32"/>
        </w:rPr>
        <w:t>鼓励职业学校设置新兴产业相关专业，建设一批技能大师工作室。</w:t>
      </w:r>
      <w:r>
        <w:rPr>
          <w:rFonts w:hint="eastAsia" w:ascii="Times New Roman" w:hAnsi="Times New Roman" w:eastAsia="仿宋_GB2312"/>
          <w:sz w:val="32"/>
          <w:szCs w:val="32"/>
        </w:rPr>
        <w:t>加大力度引进一批优秀高技能人才，打造数量充足、梯次合理、技艺精湛的高技能人才队伍。</w:t>
      </w:r>
      <w:r>
        <w:rPr>
          <w:rFonts w:ascii="Times New Roman" w:hAnsi="Times New Roman" w:eastAsia="仿宋_GB2312"/>
          <w:sz w:val="32"/>
          <w:szCs w:val="32"/>
        </w:rPr>
        <w:t>深入实施企业家培育工程，</w:t>
      </w:r>
      <w:r>
        <w:rPr>
          <w:rFonts w:hint="eastAsia" w:ascii="Times New Roman" w:hAnsi="Times New Roman" w:eastAsia="仿宋_GB2312"/>
          <w:sz w:val="32"/>
          <w:szCs w:val="32"/>
        </w:rPr>
        <w:t>大力弘扬企业家精神，聚焦重点领域、新生代企业家、“创二代”搭建学习交流平台，</w:t>
      </w:r>
      <w:r>
        <w:rPr>
          <w:rFonts w:ascii="Times New Roman" w:hAnsi="Times New Roman" w:eastAsia="仿宋_GB2312"/>
          <w:sz w:val="32"/>
          <w:szCs w:val="32"/>
        </w:rPr>
        <w:t>推进企业经营管理人才职业化、市场化、现代化和国际化。</w:t>
      </w:r>
      <w:r>
        <w:rPr>
          <w:rFonts w:hint="eastAsia" w:ascii="Times New Roman" w:hAnsi="Times New Roman" w:eastAsia="仿宋_GB2312"/>
          <w:sz w:val="32"/>
          <w:szCs w:val="32"/>
        </w:rPr>
        <w:t>引导企业家开阔视野，积极作为，引领产业转型升级。</w:t>
      </w:r>
    </w:p>
    <w:p w14:paraId="72A6E879">
      <w:pPr>
        <w:ind w:firstLine="643" w:firstLineChars="200"/>
        <w:rPr>
          <w:rFonts w:ascii="Times New Roman" w:hAnsi="Times New Roman" w:eastAsia="仿宋_GB2312"/>
          <w:sz w:val="32"/>
          <w:szCs w:val="32"/>
        </w:rPr>
      </w:pPr>
      <w:r>
        <w:rPr>
          <w:rFonts w:ascii="Times New Roman" w:hAnsi="Times New Roman" w:eastAsia="仿宋_GB2312"/>
          <w:b/>
          <w:sz w:val="32"/>
          <w:szCs w:val="32"/>
        </w:rPr>
        <w:t>优化人才发展环境。</w:t>
      </w:r>
      <w:r>
        <w:rPr>
          <w:rFonts w:hint="eastAsia" w:ascii="Times New Roman" w:hAnsi="Times New Roman" w:eastAsia="仿宋_GB2312"/>
          <w:sz w:val="32"/>
          <w:szCs w:val="32"/>
        </w:rPr>
        <w:t>坚持人才优先发展战略，实施“文都英才”和“人才强企”工程，建立完善引才、育才、留才工作机制。创新柔性引才机制，</w:t>
      </w:r>
      <w:r>
        <w:rPr>
          <w:rFonts w:hint="eastAsia" w:ascii="Times New Roman" w:hAnsi="Times New Roman" w:eastAsia="仿宋_GB2312"/>
          <w:color w:val="000000" w:themeColor="text1"/>
          <w:sz w:val="32"/>
          <w:szCs w:val="32"/>
        </w:rPr>
        <w:t>不断</w:t>
      </w:r>
      <w:r>
        <w:rPr>
          <w:rFonts w:ascii="Times New Roman" w:hAnsi="Times New Roman" w:eastAsia="仿宋_GB2312"/>
          <w:sz w:val="32"/>
          <w:szCs w:val="32"/>
        </w:rPr>
        <w:t>畅通各类人才流动渠道。</w:t>
      </w:r>
      <w:r>
        <w:rPr>
          <w:rFonts w:hint="eastAsia" w:ascii="Times New Roman" w:hAnsi="Times New Roman" w:eastAsia="仿宋_GB2312"/>
          <w:sz w:val="32"/>
          <w:szCs w:val="32"/>
        </w:rPr>
        <w:t>及时兑现政策待遇，加快人才公寓建设，发放“人才绿卡”，开辟就医就学等绿色通道，形成留人更留心的人才“生态圈”</w:t>
      </w:r>
      <w:r>
        <w:rPr>
          <w:rFonts w:ascii="Times New Roman" w:hAnsi="Times New Roman" w:eastAsia="仿宋_GB2312"/>
          <w:sz w:val="32"/>
          <w:szCs w:val="32"/>
        </w:rPr>
        <w:t>。支持企业探索灵活的薪酬管理模式，鼓励实施股权和期权等激励政策。支持科技人员以技术成果、知识产权等无形资产入股，参与科技型企业建设。</w:t>
      </w:r>
    </w:p>
    <w:p w14:paraId="5D3FB225">
      <w:pPr>
        <w:spacing w:before="100" w:beforeAutospacing="1" w:after="100" w:afterAutospacing="1"/>
        <w:jc w:val="center"/>
        <w:outlineLvl w:val="1"/>
        <w:rPr>
          <w:rFonts w:ascii="Times New Roman" w:hAnsi="Times New Roman" w:eastAsia="黑体"/>
          <w:sz w:val="32"/>
          <w:szCs w:val="32"/>
        </w:rPr>
      </w:pPr>
      <w:bookmarkStart w:id="15" w:name="_Toc31952"/>
      <w:bookmarkStart w:id="16" w:name="_Toc53003430"/>
      <w:r>
        <w:rPr>
          <w:rFonts w:ascii="Times New Roman" w:hAnsi="Times New Roman" w:eastAsia="黑体"/>
          <w:sz w:val="32"/>
          <w:szCs w:val="32"/>
        </w:rPr>
        <w:t>第</w:t>
      </w:r>
      <w:r>
        <w:rPr>
          <w:rFonts w:hint="eastAsia" w:ascii="Times New Roman" w:hAnsi="Times New Roman" w:eastAsia="黑体"/>
          <w:sz w:val="32"/>
          <w:szCs w:val="32"/>
        </w:rPr>
        <w:t>三</w:t>
      </w:r>
      <w:r>
        <w:rPr>
          <w:rFonts w:ascii="Times New Roman" w:hAnsi="Times New Roman" w:eastAsia="黑体"/>
          <w:sz w:val="32"/>
          <w:szCs w:val="32"/>
        </w:rPr>
        <w:t>节</w:t>
      </w:r>
      <w:r>
        <w:rPr>
          <w:rFonts w:hint="eastAsia" w:ascii="Times New Roman" w:hAnsi="Times New Roman" w:eastAsia="黑体"/>
          <w:sz w:val="32"/>
          <w:szCs w:val="32"/>
          <w:lang w:val="en-US" w:eastAsia="zh-CN"/>
        </w:rPr>
        <w:t xml:space="preserve"> </w:t>
      </w:r>
      <w:r>
        <w:rPr>
          <w:rFonts w:hint="eastAsia" w:ascii="Times New Roman" w:hAnsi="Times New Roman" w:eastAsia="黑体"/>
          <w:sz w:val="32"/>
          <w:szCs w:val="32"/>
        </w:rPr>
        <w:t>打造高效科技创新平台</w:t>
      </w:r>
      <w:bookmarkEnd w:id="15"/>
    </w:p>
    <w:p w14:paraId="000D55EB">
      <w:pPr>
        <w:ind w:firstLine="643" w:firstLineChars="200"/>
        <w:rPr>
          <w:rFonts w:ascii="Times New Roman" w:hAnsi="Times New Roman" w:eastAsia="仿宋_GB2312"/>
          <w:color w:val="000000" w:themeColor="text1"/>
          <w:sz w:val="32"/>
          <w:szCs w:val="32"/>
        </w:rPr>
      </w:pPr>
      <w:r>
        <w:rPr>
          <w:rFonts w:ascii="Times New Roman" w:hAnsi="Times New Roman" w:eastAsia="仿宋_GB2312"/>
          <w:b/>
          <w:color w:val="000000" w:themeColor="text1"/>
          <w:sz w:val="32"/>
          <w:szCs w:val="32"/>
        </w:rPr>
        <w:t>打造高效创新成果转化载体</w:t>
      </w:r>
      <w:bookmarkEnd w:id="16"/>
      <w:r>
        <w:rPr>
          <w:rFonts w:ascii="Times New Roman" w:hAnsi="Times New Roman" w:eastAsia="仿宋_GB2312"/>
          <w:b/>
          <w:color w:val="000000" w:themeColor="text1"/>
          <w:sz w:val="32"/>
          <w:szCs w:val="32"/>
        </w:rPr>
        <w:t>。</w:t>
      </w:r>
      <w:r>
        <w:rPr>
          <w:rFonts w:ascii="Times New Roman" w:hAnsi="Times New Roman" w:eastAsia="仿宋_GB2312"/>
          <w:color w:val="000000" w:themeColor="text1"/>
          <w:sz w:val="32"/>
          <w:szCs w:val="32"/>
        </w:rPr>
        <w:t>加强与省“四个一”创新主平台建设的有效衔接，围绕重点领域、关键环节、首位产业，建立以企业为主体、市场为导向、政产学研深度融合的科技创新平台体系。</w:t>
      </w:r>
      <w:r>
        <w:rPr>
          <w:rFonts w:hint="eastAsia" w:ascii="Times New Roman" w:hAnsi="Times New Roman" w:eastAsia="仿宋_GB2312"/>
          <w:color w:val="000000" w:themeColor="text1"/>
          <w:sz w:val="32"/>
          <w:szCs w:val="32"/>
        </w:rPr>
        <w:t>实施“一区三园两室一基地”建设工程，启动建设绿色包装产业创新试验区、高新产业园、桐城科创园、稳定同位素产业园，加快建设智慧县域联合创新实验室、汽车零部件产业创新实验室，积极争取科技部火炬中心在桐设立成果转化基地。加快</w:t>
      </w:r>
      <w:r>
        <w:rPr>
          <w:rFonts w:ascii="Times New Roman" w:hAnsi="Times New Roman" w:eastAsia="仿宋_GB2312"/>
          <w:color w:val="000000" w:themeColor="text1"/>
          <w:sz w:val="32"/>
          <w:szCs w:val="32"/>
        </w:rPr>
        <w:t>科技企业孵化器聚集提升，推进青桐众创空间、双创园高新技术中小企业孵化中心、海峡科技企业孵化器等创新载体建设，引导建立一批行业孵化平台，提升创新成果在我市孵化能力。</w:t>
      </w:r>
    </w:p>
    <w:p w14:paraId="668F1120">
      <w:pPr>
        <w:ind w:firstLine="643" w:firstLineChars="200"/>
        <w:rPr>
          <w:rFonts w:ascii="Times New Roman" w:hAnsi="Times New Roman" w:eastAsia="仿宋_GB2312"/>
          <w:color w:val="000000" w:themeColor="text1"/>
          <w:sz w:val="32"/>
          <w:szCs w:val="32"/>
        </w:rPr>
      </w:pPr>
      <w:r>
        <w:rPr>
          <w:rFonts w:hint="eastAsia" w:ascii="Times New Roman" w:hAnsi="Times New Roman" w:eastAsia="仿宋_GB2312"/>
          <w:b/>
          <w:color w:val="000000" w:themeColor="text1"/>
          <w:sz w:val="32"/>
          <w:szCs w:val="32"/>
        </w:rPr>
        <w:t>加强区域协同创新合作。</w:t>
      </w:r>
      <w:r>
        <w:rPr>
          <w:rFonts w:hint="eastAsia" w:ascii="Times New Roman" w:hAnsi="Times New Roman" w:eastAsia="仿宋_GB2312"/>
          <w:color w:val="000000" w:themeColor="text1"/>
          <w:sz w:val="32"/>
          <w:szCs w:val="32"/>
        </w:rPr>
        <w:t>主动参与合肥综合性国家科学中心建设，形成长效对接机制，积极对接有关院所、科研机构，争取在我市设立成果转化机构。加强与G60科创走廊城市的对接和交流，鼓励我市企业在长三角设立科研“飞地”，实现研发在外、生产在桐、孵化在外、产业在桐。积极开展“院士家乡行”“科技创新节”等活动。</w:t>
      </w:r>
    </w:p>
    <w:p w14:paraId="69BB4CB0">
      <w:pPr>
        <w:ind w:firstLine="643" w:firstLineChars="200"/>
        <w:rPr>
          <w:rFonts w:ascii="Times New Roman" w:hAnsi="Times New Roman" w:eastAsia="仿宋_GB2312"/>
          <w:color w:val="000000" w:themeColor="text1"/>
          <w:sz w:val="32"/>
          <w:szCs w:val="32"/>
        </w:rPr>
      </w:pPr>
      <w:r>
        <w:rPr>
          <w:rFonts w:hint="eastAsia" w:ascii="Times New Roman" w:hAnsi="Times New Roman" w:eastAsia="仿宋_GB2312"/>
          <w:b/>
          <w:color w:val="000000" w:themeColor="text1"/>
          <w:sz w:val="32"/>
          <w:szCs w:val="32"/>
        </w:rPr>
        <w:t>加大科技金融扶持力度。</w:t>
      </w:r>
      <w:r>
        <w:rPr>
          <w:rFonts w:hint="eastAsia" w:ascii="Times New Roman" w:hAnsi="Times New Roman" w:eastAsia="仿宋_GB2312"/>
          <w:color w:val="000000" w:themeColor="text1"/>
          <w:sz w:val="32"/>
          <w:szCs w:val="32"/>
        </w:rPr>
        <w:t>鼓励设立产业投资、创业投资、股权投资、科技创新、科技成果转化引导基金，适时扩大基金规模。拓展科技金融供给渠道，支持相关部门打造中小企业融资创新服务示范平台、区域科技型企业征信平台、政企资源对接和交流平台等科技金融服务平台。支持保险机构开展科技保险产品创新，</w:t>
      </w:r>
      <w:r>
        <w:rPr>
          <w:rFonts w:hint="eastAsia" w:ascii="Times New Roman" w:hAnsi="Times New Roman" w:eastAsia="仿宋_GB2312"/>
          <w:color w:val="000000" w:themeColor="text1"/>
          <w:sz w:val="32"/>
          <w:szCs w:val="32"/>
          <w:lang w:val="en-US" w:eastAsia="zh-CN"/>
        </w:rPr>
        <w:t>奖励</w:t>
      </w:r>
      <w:r>
        <w:rPr>
          <w:rFonts w:hint="eastAsia" w:ascii="Times New Roman" w:hAnsi="Times New Roman" w:eastAsia="仿宋_GB2312"/>
          <w:color w:val="000000" w:themeColor="text1"/>
          <w:sz w:val="32"/>
          <w:szCs w:val="32"/>
        </w:rPr>
        <w:t>商业银行科技金融服务专营机构加大对科技企业</w:t>
      </w:r>
      <w:r>
        <w:rPr>
          <w:rFonts w:hint="eastAsia" w:ascii="Times New Roman" w:hAnsi="Times New Roman" w:eastAsia="仿宋_GB2312"/>
          <w:color w:val="000000" w:themeColor="text1"/>
          <w:sz w:val="32"/>
          <w:szCs w:val="32"/>
          <w:lang w:eastAsia="zh-CN"/>
        </w:rPr>
        <w:t>、</w:t>
      </w:r>
      <w:r>
        <w:rPr>
          <w:rFonts w:hint="eastAsia" w:ascii="Times New Roman" w:hAnsi="Times New Roman" w:eastAsia="仿宋_GB2312"/>
          <w:color w:val="000000" w:themeColor="text1"/>
          <w:sz w:val="32"/>
          <w:szCs w:val="32"/>
          <w:lang w:val="en-US" w:eastAsia="zh-CN"/>
        </w:rPr>
        <w:t>专精特新企业</w:t>
      </w:r>
      <w:r>
        <w:rPr>
          <w:rFonts w:hint="eastAsia" w:ascii="Times New Roman" w:hAnsi="Times New Roman" w:eastAsia="仿宋_GB2312"/>
          <w:color w:val="000000" w:themeColor="text1"/>
          <w:sz w:val="32"/>
          <w:szCs w:val="32"/>
        </w:rPr>
        <w:t>信贷投放力度。</w:t>
      </w:r>
    </w:p>
    <w:p w14:paraId="5DDEEE2B">
      <w:pPr>
        <w:pStyle w:val="9"/>
      </w:pPr>
    </w:p>
    <w:tbl>
      <w:tblPr>
        <w:tblStyle w:val="2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64EC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85" w:hRule="atLeast"/>
        </w:trPr>
        <w:tc>
          <w:tcPr>
            <w:tcW w:w="8522" w:type="dxa"/>
          </w:tcPr>
          <w:p w14:paraId="69BBE6D4">
            <w:pPr>
              <w:spacing w:line="400" w:lineRule="exact"/>
              <w:ind w:firstLine="602" w:firstLineChars="200"/>
              <w:jc w:val="left"/>
              <w:rPr>
                <w:rFonts w:hint="eastAsia" w:ascii="楷体" w:hAnsi="楷体" w:eastAsia="楷体" w:cs="仿宋_GB2312"/>
                <w:b/>
                <w:color w:val="FF0000"/>
                <w:sz w:val="30"/>
                <w:szCs w:val="30"/>
                <w:lang w:val="zh-CN"/>
              </w:rPr>
            </w:pPr>
          </w:p>
          <w:p w14:paraId="33437DD7">
            <w:pPr>
              <w:spacing w:line="400" w:lineRule="exact"/>
              <w:ind w:firstLine="602" w:firstLineChars="200"/>
              <w:jc w:val="left"/>
              <w:rPr>
                <w:rFonts w:ascii="楷体" w:hAnsi="楷体" w:eastAsia="楷体" w:cs="仿宋_GB2312"/>
                <w:b/>
                <w:color w:val="auto"/>
                <w:sz w:val="30"/>
                <w:szCs w:val="30"/>
                <w:lang w:val="zh-CN"/>
              </w:rPr>
            </w:pPr>
            <w:r>
              <w:rPr>
                <w:rFonts w:hint="eastAsia" w:ascii="楷体" w:hAnsi="楷体" w:eastAsia="楷体" w:cs="仿宋_GB2312"/>
                <w:b/>
                <w:color w:val="auto"/>
                <w:sz w:val="30"/>
                <w:szCs w:val="30"/>
                <w:lang w:val="zh-CN"/>
              </w:rPr>
              <w:t>专栏1：“一区三园两室一基地” 创新平台建设工程</w:t>
            </w:r>
          </w:p>
          <w:p w14:paraId="573A3514">
            <w:pPr>
              <w:spacing w:line="400" w:lineRule="exact"/>
              <w:ind w:firstLine="560" w:firstLineChars="200"/>
              <w:jc w:val="left"/>
              <w:rPr>
                <w:rFonts w:ascii="仿宋_GB2312" w:hAnsi="楷体" w:eastAsia="仿宋_GB2312"/>
                <w:b/>
                <w:bCs/>
                <w:sz w:val="28"/>
                <w:szCs w:val="28"/>
              </w:rPr>
            </w:pPr>
            <w:r>
              <w:rPr>
                <w:rFonts w:hint="eastAsia" w:ascii="仿宋_GB2312" w:hAnsi="Times New Roman" w:eastAsia="仿宋_GB2312"/>
                <w:bCs/>
                <w:color w:val="auto"/>
                <w:sz w:val="28"/>
                <w:szCs w:val="28"/>
              </w:rPr>
              <w:t>实施“一区三园两室一基地”建设工程</w:t>
            </w:r>
            <w:r>
              <w:rPr>
                <w:rFonts w:hint="eastAsia" w:ascii="仿宋_GB2312" w:hAnsi="Times New Roman" w:eastAsia="仿宋_GB2312"/>
                <w:bCs/>
                <w:color w:val="auto"/>
                <w:sz w:val="28"/>
                <w:szCs w:val="28"/>
                <w:lang w:eastAsia="zh-CN"/>
              </w:rPr>
              <w:t>，</w:t>
            </w:r>
            <w:r>
              <w:rPr>
                <w:rFonts w:hint="eastAsia" w:ascii="仿宋_GB2312" w:hAnsi="Times New Roman" w:eastAsia="仿宋_GB2312"/>
                <w:bCs/>
                <w:color w:val="auto"/>
                <w:sz w:val="28"/>
                <w:szCs w:val="28"/>
              </w:rPr>
              <w:t>启动建设绿色包装产业创新试验区、高新产业园、桐城科创园、稳定同位素产业园，加快建设智慧县域联合创新实验室、汽车零部件产业创新实验室，</w:t>
            </w:r>
            <w:r>
              <w:rPr>
                <w:rFonts w:hint="eastAsia" w:ascii="仿宋_GB2312" w:hAnsi="Times New Roman" w:eastAsia="仿宋_GB2312"/>
                <w:bCs/>
                <w:color w:val="auto"/>
                <w:sz w:val="28"/>
                <w:szCs w:val="28"/>
                <w:lang w:val="en-US" w:eastAsia="zh-CN"/>
              </w:rPr>
              <w:t>积极建设</w:t>
            </w:r>
            <w:r>
              <w:rPr>
                <w:rFonts w:hint="eastAsia" w:ascii="仿宋_GB2312" w:hAnsi="Times New Roman" w:eastAsia="仿宋_GB2312"/>
                <w:bCs/>
                <w:color w:val="auto"/>
                <w:sz w:val="28"/>
                <w:szCs w:val="28"/>
              </w:rPr>
              <w:t>科技部火炬中心在桐设立成果转化基地。</w:t>
            </w:r>
          </w:p>
        </w:tc>
      </w:tr>
    </w:tbl>
    <w:p w14:paraId="7B54995B">
      <w:pPr>
        <w:pStyle w:val="5"/>
        <w:sectPr>
          <w:footerReference r:id="rId4" w:type="default"/>
          <w:pgSz w:w="11906" w:h="16838"/>
          <w:pgMar w:top="1440" w:right="1800" w:bottom="1440" w:left="1800" w:header="851" w:footer="992" w:gutter="0"/>
          <w:pgNumType w:fmt="decimal" w:start="1"/>
          <w:cols w:space="720" w:num="1"/>
          <w:docGrid w:type="lines" w:linePitch="312" w:charSpace="0"/>
        </w:sectPr>
      </w:pPr>
    </w:p>
    <w:p w14:paraId="6E2616B2">
      <w:pPr>
        <w:pStyle w:val="3"/>
        <w:spacing w:before="100" w:beforeAutospacing="1" w:after="100" w:afterAutospacing="1"/>
        <w:jc w:val="center"/>
        <w:rPr>
          <w:rFonts w:eastAsia="方正小标宋简体"/>
        </w:rPr>
      </w:pPr>
      <w:bookmarkStart w:id="17" w:name="_Toc53003421"/>
      <w:bookmarkStart w:id="18" w:name="_Toc10552"/>
      <w:r>
        <w:rPr>
          <w:rFonts w:hint="eastAsia" w:eastAsia="方正小标宋简体"/>
        </w:rPr>
        <w:t>聚焦实体经济，推动产业体系优化升级</w:t>
      </w:r>
      <w:bookmarkEnd w:id="17"/>
      <w:bookmarkEnd w:id="18"/>
    </w:p>
    <w:p w14:paraId="3F7BAFFD">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坚持工业立市不动摇，把发展经济着力点放在实体经济上，一手抓传统产业转型升级，一手抓新兴产业发展壮大，促进产业集聚发展，推动数字经济和实体经济深度融合，不断提升制造业发展水平，提高经济质量效益和核心竞争力。</w:t>
      </w:r>
    </w:p>
    <w:p w14:paraId="376EADC9">
      <w:pPr>
        <w:spacing w:before="100" w:beforeAutospacing="1" w:after="100" w:afterAutospacing="1"/>
        <w:ind w:firstLine="420"/>
        <w:jc w:val="center"/>
        <w:outlineLvl w:val="1"/>
        <w:rPr>
          <w:rFonts w:ascii="Times New Roman" w:hAnsi="Times New Roman" w:eastAsia="黑体"/>
          <w:sz w:val="32"/>
          <w:szCs w:val="32"/>
        </w:rPr>
      </w:pPr>
      <w:bookmarkStart w:id="19" w:name="_Toc1555"/>
      <w:bookmarkStart w:id="20" w:name="_Toc53003422"/>
      <w:r>
        <w:rPr>
          <w:rFonts w:ascii="Times New Roman" w:hAnsi="Times New Roman" w:eastAsia="黑体"/>
          <w:sz w:val="32"/>
          <w:szCs w:val="32"/>
        </w:rPr>
        <w:t>第一节</w:t>
      </w:r>
      <w:r>
        <w:rPr>
          <w:rFonts w:hint="eastAsia" w:ascii="Times New Roman" w:hAnsi="Times New Roman" w:eastAsia="黑体"/>
          <w:sz w:val="32"/>
          <w:szCs w:val="32"/>
          <w:lang w:val="en-US" w:eastAsia="zh-CN"/>
        </w:rPr>
        <w:t xml:space="preserve"> </w:t>
      </w:r>
      <w:r>
        <w:rPr>
          <w:rFonts w:hint="eastAsia" w:ascii="Times New Roman" w:hAnsi="Times New Roman" w:eastAsia="黑体"/>
          <w:sz w:val="32"/>
          <w:szCs w:val="32"/>
        </w:rPr>
        <w:t>着力做强两大首位产业</w:t>
      </w:r>
      <w:bookmarkEnd w:id="19"/>
      <w:bookmarkEnd w:id="20"/>
    </w:p>
    <w:p w14:paraId="5A691F19">
      <w:pPr>
        <w:ind w:firstLine="640" w:firstLineChars="200"/>
        <w:rPr>
          <w:rFonts w:ascii="Times New Roman" w:hAnsi="Times New Roman" w:eastAsia="仿宋_GB2312"/>
          <w:sz w:val="32"/>
          <w:szCs w:val="32"/>
        </w:rPr>
      </w:pPr>
      <w:bookmarkStart w:id="21" w:name="_Toc53003423"/>
      <w:r>
        <w:rPr>
          <w:rFonts w:ascii="Times New Roman" w:hAnsi="Times New Roman" w:eastAsia="仿宋_GB2312"/>
          <w:sz w:val="32"/>
          <w:szCs w:val="32"/>
        </w:rPr>
        <w:t>抢抓区域一体化和产业转移机遇，</w:t>
      </w:r>
      <w:r>
        <w:rPr>
          <w:rFonts w:hint="eastAsia" w:ascii="Times New Roman" w:hAnsi="Times New Roman" w:eastAsia="仿宋_GB2312"/>
          <w:sz w:val="32"/>
          <w:szCs w:val="32"/>
        </w:rPr>
        <w:t>深入</w:t>
      </w:r>
      <w:r>
        <w:rPr>
          <w:rFonts w:ascii="Times New Roman" w:hAnsi="Times New Roman" w:eastAsia="仿宋_GB2312"/>
          <w:sz w:val="32"/>
          <w:szCs w:val="32"/>
        </w:rPr>
        <w:t>参与长三角和合肥都市圈产业分工合作</w:t>
      </w:r>
      <w:r>
        <w:rPr>
          <w:rFonts w:hint="eastAsia" w:ascii="Times New Roman" w:hAnsi="Times New Roman" w:eastAsia="仿宋_GB2312"/>
          <w:sz w:val="32"/>
          <w:szCs w:val="32"/>
        </w:rPr>
        <w:t>，突出</w:t>
      </w:r>
      <w:r>
        <w:rPr>
          <w:rFonts w:ascii="Times New Roman" w:hAnsi="Times New Roman" w:eastAsia="仿宋_GB2312"/>
          <w:sz w:val="32"/>
          <w:szCs w:val="32"/>
        </w:rPr>
        <w:t>绿色包装、</w:t>
      </w:r>
      <w:r>
        <w:rPr>
          <w:rFonts w:hint="eastAsia" w:ascii="Times New Roman" w:hAnsi="Times New Roman" w:eastAsia="仿宋_GB2312"/>
          <w:sz w:val="32"/>
          <w:szCs w:val="32"/>
        </w:rPr>
        <w:t>机电装备两个</w:t>
      </w:r>
      <w:r>
        <w:rPr>
          <w:rFonts w:ascii="Times New Roman" w:hAnsi="Times New Roman" w:eastAsia="仿宋_GB2312"/>
          <w:sz w:val="32"/>
          <w:szCs w:val="32"/>
        </w:rPr>
        <w:t>首位产业</w:t>
      </w:r>
      <w:r>
        <w:rPr>
          <w:rFonts w:hint="eastAsia" w:ascii="Times New Roman" w:hAnsi="Times New Roman" w:eastAsia="仿宋_GB2312"/>
          <w:sz w:val="32"/>
          <w:szCs w:val="32"/>
        </w:rPr>
        <w:t>主导地位</w:t>
      </w:r>
      <w:r>
        <w:rPr>
          <w:rFonts w:ascii="Times New Roman" w:hAnsi="Times New Roman" w:eastAsia="仿宋_GB2312"/>
          <w:sz w:val="32"/>
          <w:szCs w:val="32"/>
        </w:rPr>
        <w:t>，</w:t>
      </w:r>
      <w:r>
        <w:rPr>
          <w:rFonts w:hint="eastAsia" w:ascii="Times New Roman" w:hAnsi="Times New Roman" w:eastAsia="仿宋_GB2312"/>
          <w:sz w:val="32"/>
          <w:szCs w:val="32"/>
        </w:rPr>
        <w:t>推动资源集聚、企业抱团，力争到2025年打造两个500亿产业集群，</w:t>
      </w:r>
      <w:r>
        <w:rPr>
          <w:rFonts w:ascii="Times New Roman" w:hAnsi="Times New Roman" w:eastAsia="仿宋_GB2312"/>
          <w:sz w:val="32"/>
          <w:szCs w:val="32"/>
        </w:rPr>
        <w:t>形成全市现代制造业发展的主引擎和动力源。</w:t>
      </w:r>
    </w:p>
    <w:p w14:paraId="74DCC1C5">
      <w:pPr>
        <w:ind w:firstLine="643" w:firstLineChars="200"/>
        <w:rPr>
          <w:rFonts w:ascii="Times New Roman" w:hAnsi="Times New Roman" w:eastAsia="仿宋_GB2312"/>
          <w:sz w:val="32"/>
          <w:szCs w:val="32"/>
        </w:rPr>
      </w:pPr>
      <w:r>
        <w:rPr>
          <w:rFonts w:ascii="Times New Roman" w:hAnsi="Times New Roman" w:eastAsia="仿宋_GB2312"/>
          <w:b/>
          <w:sz w:val="32"/>
          <w:szCs w:val="32"/>
        </w:rPr>
        <w:t>绿色包装产业。</w:t>
      </w:r>
      <w:r>
        <w:rPr>
          <w:rFonts w:ascii="Times New Roman" w:hAnsi="Times New Roman" w:eastAsia="仿宋_GB2312"/>
          <w:sz w:val="32"/>
          <w:szCs w:val="32"/>
        </w:rPr>
        <w:t>高质量打造双港软包装小镇，推进江南大学双港软包装产学研基地、西安理工大学</w:t>
      </w:r>
      <w:r>
        <w:rPr>
          <w:rFonts w:hint="eastAsia" w:ascii="Times New Roman" w:hAnsi="Times New Roman" w:eastAsia="仿宋_GB2312"/>
          <w:sz w:val="32"/>
          <w:szCs w:val="32"/>
          <w:lang w:val="en-US" w:eastAsia="zh-CN"/>
        </w:rPr>
        <w:t>新渡产学研合作基地、</w:t>
      </w:r>
      <w:r>
        <w:rPr>
          <w:rFonts w:ascii="Times New Roman" w:hAnsi="Times New Roman" w:eastAsia="仿宋_GB2312"/>
          <w:sz w:val="32"/>
          <w:szCs w:val="32"/>
        </w:rPr>
        <w:t>西安理工大学双新印刷包装技术创新基地等创新平台建设</w:t>
      </w:r>
      <w:r>
        <w:rPr>
          <w:rFonts w:hint="eastAsia" w:ascii="Times New Roman" w:hAnsi="Times New Roman" w:eastAsia="仿宋_GB2312"/>
          <w:sz w:val="32"/>
          <w:szCs w:val="32"/>
        </w:rPr>
        <w:t>。</w:t>
      </w:r>
      <w:r>
        <w:rPr>
          <w:rFonts w:ascii="Times New Roman" w:hAnsi="Times New Roman" w:eastAsia="仿宋_GB2312"/>
          <w:sz w:val="32"/>
          <w:szCs w:val="32"/>
        </w:rPr>
        <w:t>加快突破绿色包装、安全包装、智能包装领域的关键技术，推动包装产业智能化、绿色化、专业化转型</w:t>
      </w:r>
      <w:r>
        <w:rPr>
          <w:rFonts w:hint="eastAsia" w:ascii="Times New Roman" w:hAnsi="Times New Roman" w:eastAsia="仿宋_GB2312"/>
          <w:sz w:val="32"/>
          <w:szCs w:val="32"/>
        </w:rPr>
        <w:t>，</w:t>
      </w:r>
      <w:r>
        <w:rPr>
          <w:rFonts w:ascii="Times New Roman" w:hAnsi="Times New Roman" w:eastAsia="仿宋_GB2312"/>
          <w:sz w:val="32"/>
          <w:szCs w:val="32"/>
        </w:rPr>
        <w:t>推广使用低（无）VOCs原辅材料</w:t>
      </w:r>
      <w:r>
        <w:rPr>
          <w:rFonts w:hint="eastAsia" w:ascii="Times New Roman" w:hAnsi="Times New Roman" w:eastAsia="仿宋_GB2312"/>
          <w:sz w:val="32"/>
          <w:szCs w:val="32"/>
        </w:rPr>
        <w:t>。</w:t>
      </w:r>
      <w:r>
        <w:rPr>
          <w:rFonts w:ascii="Times New Roman" w:hAnsi="Times New Roman" w:eastAsia="仿宋_GB2312"/>
          <w:sz w:val="32"/>
          <w:szCs w:val="32"/>
        </w:rPr>
        <w:t>重点发展医药、酒类、化妆品、饮料食品等高附加值包装印刷产品，鼓励生产可降解、水溶性绿色包装产品</w:t>
      </w:r>
      <w:r>
        <w:rPr>
          <w:rFonts w:hint="eastAsia" w:ascii="Times New Roman" w:hAnsi="Times New Roman" w:eastAsia="仿宋_GB2312"/>
          <w:sz w:val="32"/>
          <w:szCs w:val="32"/>
        </w:rPr>
        <w:t>。积极</w:t>
      </w:r>
      <w:r>
        <w:rPr>
          <w:rFonts w:ascii="Times New Roman" w:hAnsi="Times New Roman" w:eastAsia="仿宋_GB2312"/>
          <w:sz w:val="32"/>
          <w:szCs w:val="32"/>
        </w:rPr>
        <w:t>发展包装</w:t>
      </w:r>
      <w:r>
        <w:rPr>
          <w:rFonts w:hint="eastAsia" w:ascii="Times New Roman" w:hAnsi="Times New Roman" w:eastAsia="仿宋_GB2312"/>
          <w:sz w:val="32"/>
          <w:szCs w:val="32"/>
          <w:lang w:val="en-US" w:eastAsia="zh-CN"/>
        </w:rPr>
        <w:t>设计、</w:t>
      </w:r>
      <w:r>
        <w:rPr>
          <w:rFonts w:ascii="Times New Roman" w:hAnsi="Times New Roman" w:eastAsia="仿宋_GB2312"/>
          <w:sz w:val="32"/>
          <w:szCs w:val="32"/>
        </w:rPr>
        <w:t>检验检测、原辅材料集散、会展展销、包装装备等配套产业</w:t>
      </w:r>
      <w:r>
        <w:rPr>
          <w:rFonts w:hint="eastAsia" w:ascii="Times New Roman" w:hAnsi="Times New Roman" w:eastAsia="仿宋_GB2312"/>
          <w:sz w:val="32"/>
          <w:szCs w:val="32"/>
        </w:rPr>
        <w:t>，</w:t>
      </w:r>
      <w:r>
        <w:rPr>
          <w:rFonts w:ascii="Times New Roman" w:hAnsi="Times New Roman" w:eastAsia="仿宋_GB2312"/>
          <w:sz w:val="32"/>
          <w:szCs w:val="32"/>
        </w:rPr>
        <w:t>推进物联网等信息技术赋能。鼓励企业采取联合、并购、控股等方式资产重组，重点培植一批龙头企业和核心品牌。发挥绿色包装产业集聚优势，依托双新</w:t>
      </w:r>
      <w:r>
        <w:rPr>
          <w:rFonts w:hint="eastAsia" w:ascii="Times New Roman" w:hAnsi="Times New Roman" w:eastAsia="仿宋_GB2312"/>
          <w:sz w:val="32"/>
          <w:szCs w:val="32"/>
        </w:rPr>
        <w:t>产业园</w:t>
      </w:r>
      <w:r>
        <w:rPr>
          <w:rFonts w:ascii="Times New Roman" w:hAnsi="Times New Roman" w:eastAsia="仿宋_GB2312"/>
          <w:sz w:val="32"/>
          <w:szCs w:val="32"/>
        </w:rPr>
        <w:t>发展绿色包装区域总部、研发总部和销售总部，打造</w:t>
      </w:r>
      <w:r>
        <w:rPr>
          <w:rFonts w:hint="eastAsia" w:ascii="Times New Roman" w:hAnsi="Times New Roman" w:eastAsia="仿宋_GB2312"/>
          <w:sz w:val="32"/>
          <w:szCs w:val="32"/>
        </w:rPr>
        <w:t>绿色包装产业总部经济区，建成</w:t>
      </w:r>
      <w:r>
        <w:rPr>
          <w:rFonts w:ascii="Times New Roman" w:hAnsi="Times New Roman" w:eastAsia="仿宋_GB2312"/>
          <w:sz w:val="32"/>
          <w:szCs w:val="32"/>
        </w:rPr>
        <w:t>中国“绿色包装之都”。</w:t>
      </w:r>
    </w:p>
    <w:p w14:paraId="65333B39">
      <w:pPr>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机电装备</w:t>
      </w:r>
      <w:r>
        <w:rPr>
          <w:rFonts w:ascii="Times New Roman" w:hAnsi="Times New Roman" w:eastAsia="仿宋_GB2312"/>
          <w:b/>
          <w:sz w:val="32"/>
          <w:szCs w:val="32"/>
        </w:rPr>
        <w:t>产业。</w:t>
      </w:r>
      <w:r>
        <w:rPr>
          <w:rFonts w:ascii="Times New Roman" w:hAnsi="Times New Roman" w:eastAsia="仿宋_GB2312"/>
          <w:sz w:val="32"/>
          <w:szCs w:val="32"/>
        </w:rPr>
        <w:t>依托汽车零部件产业基础，强化数字技术赋能，提升汽车悬架、减震件、传动件、齿轮轴承等基础制造水平，推动基础零件生产向智能化部件和总成制造升级</w:t>
      </w:r>
      <w:r>
        <w:rPr>
          <w:rFonts w:hint="eastAsia" w:ascii="Times New Roman" w:hAnsi="Times New Roman" w:eastAsia="仿宋_GB2312"/>
          <w:sz w:val="32"/>
          <w:szCs w:val="32"/>
        </w:rPr>
        <w:t>。加快</w:t>
      </w:r>
      <w:r>
        <w:rPr>
          <w:rFonts w:ascii="Times New Roman" w:hAnsi="Times New Roman" w:eastAsia="仿宋_GB2312"/>
          <w:sz w:val="32"/>
          <w:szCs w:val="32"/>
        </w:rPr>
        <w:t>突破自动控制系统集成技术等关键核心技术，推动输送机、农业机械、环保机械等优势产业向智能物流装备、智慧农机装备、现代环保装备、工业机器人、智能终端装备等领域升级。</w:t>
      </w:r>
      <w:r>
        <w:rPr>
          <w:rFonts w:ascii="Times New Roman" w:hAnsi="Times New Roman" w:eastAsia="仿宋_GB2312"/>
          <w:sz w:val="32"/>
          <w:szCs w:val="40"/>
        </w:rPr>
        <w:t>深度参与合肥</w:t>
      </w:r>
      <w:r>
        <w:rPr>
          <w:rFonts w:hint="eastAsia" w:ascii="Times New Roman" w:hAnsi="Times New Roman" w:eastAsia="仿宋_GB2312"/>
          <w:sz w:val="32"/>
          <w:szCs w:val="40"/>
        </w:rPr>
        <w:t>机器人、智能网联汽车、人工智能等产业集群分工合作，积极推进配套产业布局。</w:t>
      </w:r>
      <w:r>
        <w:rPr>
          <w:rFonts w:hint="eastAsia" w:ascii="Times New Roman" w:hAnsi="Times New Roman" w:eastAsia="仿宋_GB2312"/>
          <w:sz w:val="32"/>
          <w:szCs w:val="32"/>
        </w:rPr>
        <w:t>打造</w:t>
      </w:r>
      <w:r>
        <w:rPr>
          <w:rFonts w:ascii="Times New Roman" w:hAnsi="Times New Roman" w:eastAsia="仿宋_GB2312"/>
          <w:sz w:val="32"/>
          <w:szCs w:val="32"/>
        </w:rPr>
        <w:t>国内具有较强竞争力的</w:t>
      </w:r>
      <w:r>
        <w:rPr>
          <w:rFonts w:hint="eastAsia" w:ascii="Times New Roman" w:hAnsi="Times New Roman" w:eastAsia="仿宋_GB2312"/>
          <w:sz w:val="32"/>
          <w:szCs w:val="32"/>
        </w:rPr>
        <w:t>机电装备</w:t>
      </w:r>
      <w:r>
        <w:rPr>
          <w:rFonts w:ascii="Times New Roman" w:hAnsi="Times New Roman" w:eastAsia="仿宋_GB2312"/>
          <w:sz w:val="32"/>
          <w:szCs w:val="32"/>
        </w:rPr>
        <w:t>产业基地。</w:t>
      </w:r>
    </w:p>
    <w:p w14:paraId="4D6F7BC6">
      <w:pPr>
        <w:pStyle w:val="2"/>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4"/>
      </w:tblGrid>
      <w:tr w14:paraId="3E91D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9" w:hRule="atLeast"/>
        </w:trPr>
        <w:tc>
          <w:tcPr>
            <w:tcW w:w="8414" w:type="dxa"/>
          </w:tcPr>
          <w:p w14:paraId="1002FABE">
            <w:pPr>
              <w:spacing w:line="400" w:lineRule="exact"/>
              <w:ind w:firstLine="602" w:firstLineChars="200"/>
              <w:jc w:val="center"/>
              <w:rPr>
                <w:rFonts w:hint="eastAsia" w:ascii="楷体" w:hAnsi="楷体" w:eastAsia="楷体" w:cs="仿宋_GB2312"/>
                <w:b/>
                <w:color w:val="auto"/>
                <w:sz w:val="30"/>
                <w:szCs w:val="30"/>
                <w:lang w:val="zh-CN"/>
              </w:rPr>
            </w:pPr>
            <w:r>
              <w:rPr>
                <w:rFonts w:hint="eastAsia" w:ascii="楷体" w:hAnsi="楷体" w:eastAsia="楷体" w:cs="仿宋_GB2312"/>
                <w:b/>
                <w:color w:val="auto"/>
                <w:sz w:val="30"/>
                <w:szCs w:val="30"/>
                <w:lang w:val="zh-CN"/>
              </w:rPr>
              <w:t>专栏2：首位产业重点项目</w:t>
            </w:r>
          </w:p>
          <w:p w14:paraId="330A4233">
            <w:pPr>
              <w:spacing w:line="400" w:lineRule="exact"/>
              <w:ind w:firstLine="562" w:firstLineChars="200"/>
              <w:rPr>
                <w:rFonts w:hint="eastAsia" w:ascii="仿宋_GB2312" w:hAnsi="Times New Roman" w:eastAsia="仿宋_GB2312"/>
                <w:b/>
                <w:sz w:val="28"/>
                <w:szCs w:val="28"/>
              </w:rPr>
            </w:pPr>
          </w:p>
          <w:p w14:paraId="7A4BD808">
            <w:pPr>
              <w:spacing w:line="400" w:lineRule="exact"/>
              <w:ind w:firstLine="562" w:firstLineChars="200"/>
              <w:rPr>
                <w:rFonts w:hint="eastAsia" w:ascii="仿宋_GB2312" w:hAnsi="Times New Roman" w:eastAsia="仿宋_GB2312"/>
                <w:bCs/>
                <w:color w:val="000000" w:themeColor="text1"/>
                <w:sz w:val="28"/>
                <w:szCs w:val="28"/>
                <w:lang w:eastAsia="zh-CN"/>
              </w:rPr>
            </w:pPr>
            <w:r>
              <w:rPr>
                <w:rFonts w:hint="eastAsia" w:ascii="仿宋_GB2312" w:hAnsi="Times New Roman" w:eastAsia="仿宋_GB2312"/>
                <w:b/>
                <w:sz w:val="28"/>
                <w:szCs w:val="28"/>
              </w:rPr>
              <w:t>绿色包装产业。</w:t>
            </w:r>
            <w:r>
              <w:rPr>
                <w:rFonts w:hint="eastAsia" w:ascii="仿宋_GB2312" w:hAnsi="Times New Roman" w:eastAsia="仿宋_GB2312"/>
                <w:bCs/>
                <w:color w:val="000000" w:themeColor="text1"/>
                <w:sz w:val="28"/>
                <w:szCs w:val="28"/>
                <w:lang w:val="en-US" w:eastAsia="zh-CN"/>
              </w:rPr>
              <w:t>推动建设</w:t>
            </w:r>
            <w:r>
              <w:rPr>
                <w:rFonts w:hint="eastAsia" w:ascii="仿宋_GB2312" w:hAnsi="Times New Roman" w:eastAsia="仿宋_GB2312"/>
                <w:bCs/>
                <w:color w:val="000000" w:themeColor="text1"/>
                <w:sz w:val="28"/>
                <w:szCs w:val="28"/>
              </w:rPr>
              <w:t>年</w:t>
            </w:r>
            <w:r>
              <w:rPr>
                <w:rFonts w:hint="eastAsia" w:ascii="仿宋_GB2312" w:hAnsi="Times New Roman" w:eastAsia="仿宋_GB2312"/>
                <w:color w:val="000000" w:themeColor="text1"/>
                <w:sz w:val="28"/>
                <w:szCs w:val="28"/>
              </w:rPr>
              <w:t>产1.2亿平方米环保包装新材料</w:t>
            </w:r>
            <w:r>
              <w:rPr>
                <w:rFonts w:hint="eastAsia" w:ascii="仿宋_GB2312" w:hAnsi="Times New Roman" w:eastAsia="仿宋_GB2312"/>
                <w:color w:val="000000" w:themeColor="text1"/>
                <w:sz w:val="28"/>
                <w:szCs w:val="28"/>
                <w:lang w:eastAsia="zh-CN"/>
              </w:rPr>
              <w:t>、</w:t>
            </w:r>
            <w:r>
              <w:rPr>
                <w:rFonts w:hint="eastAsia" w:ascii="仿宋_GB2312" w:hAnsi="Times New Roman" w:eastAsia="仿宋_GB2312"/>
                <w:color w:val="000000" w:themeColor="text1"/>
                <w:sz w:val="28"/>
                <w:szCs w:val="28"/>
              </w:rPr>
              <w:t>年产10亿只环保瓶盖生产线</w:t>
            </w:r>
            <w:r>
              <w:rPr>
                <w:rFonts w:hint="eastAsia" w:ascii="仿宋_GB2312" w:hAnsi="Times New Roman" w:eastAsia="仿宋_GB2312"/>
                <w:color w:val="000000" w:themeColor="text1"/>
                <w:sz w:val="28"/>
                <w:szCs w:val="28"/>
                <w:lang w:eastAsia="zh-CN"/>
              </w:rPr>
              <w:t>、</w:t>
            </w:r>
            <w:r>
              <w:rPr>
                <w:rFonts w:hint="eastAsia" w:ascii="仿宋_GB2312" w:hAnsi="Times New Roman" w:eastAsia="仿宋_GB2312"/>
                <w:bCs/>
                <w:color w:val="000000" w:themeColor="text1"/>
                <w:sz w:val="28"/>
                <w:szCs w:val="28"/>
              </w:rPr>
              <w:t>年产450万件环保包装</w:t>
            </w:r>
            <w:r>
              <w:rPr>
                <w:rFonts w:hint="eastAsia" w:ascii="仿宋_GB2312" w:hAnsi="Times New Roman" w:eastAsia="仿宋_GB2312"/>
                <w:bCs/>
                <w:color w:val="000000" w:themeColor="text1"/>
                <w:sz w:val="28"/>
                <w:szCs w:val="28"/>
                <w:lang w:eastAsia="zh-CN"/>
              </w:rPr>
              <w:t>、年产700万件塑料制品、年产1000万件环保塑料制品智能生产线、年产500万件复合材料防伪食品包装智能化生产线、年产430万件环保包装制品生产线、年产200万只智能分类垃圾桶及托盘、年产1500万件塑料轨道设备装备</w:t>
            </w:r>
            <w:r>
              <w:rPr>
                <w:rFonts w:hint="eastAsia" w:ascii="仿宋_GB2312" w:hAnsi="Times New Roman" w:eastAsia="仿宋_GB2312"/>
                <w:bCs/>
                <w:color w:val="000000" w:themeColor="text1"/>
                <w:sz w:val="28"/>
                <w:szCs w:val="28"/>
                <w:lang w:val="en-US" w:eastAsia="zh-CN"/>
              </w:rPr>
              <w:t>等。</w:t>
            </w:r>
          </w:p>
          <w:p w14:paraId="7FC38C49">
            <w:pPr>
              <w:spacing w:line="400" w:lineRule="exact"/>
              <w:ind w:firstLine="562" w:firstLineChars="200"/>
              <w:rPr>
                <w:rFonts w:ascii="宋体" w:hAnsi="宋体" w:cs="宋体"/>
                <w:bCs/>
                <w:spacing w:val="-14"/>
                <w:szCs w:val="21"/>
                <w:lang w:val="zh-CN"/>
              </w:rPr>
            </w:pPr>
            <w:r>
              <w:rPr>
                <w:rFonts w:hint="eastAsia" w:ascii="仿宋_GB2312" w:hAnsi="Times New Roman" w:eastAsia="仿宋_GB2312"/>
                <w:b/>
                <w:color w:val="000000" w:themeColor="text1"/>
                <w:sz w:val="28"/>
              </w:rPr>
              <w:t>机电装备产业。</w:t>
            </w:r>
            <w:r>
              <w:rPr>
                <w:rFonts w:hint="eastAsia" w:ascii="仿宋_GB2312" w:hAnsi="Times New Roman" w:eastAsia="仿宋_GB2312"/>
                <w:bCs/>
                <w:color w:val="000000" w:themeColor="text1"/>
                <w:sz w:val="28"/>
                <w:szCs w:val="28"/>
                <w:lang w:val="en-US" w:eastAsia="zh-CN"/>
              </w:rPr>
              <w:t>推</w:t>
            </w:r>
            <w:r>
              <w:rPr>
                <w:rFonts w:hint="eastAsia" w:ascii="仿宋_GB2312" w:hAnsi="Times New Roman" w:eastAsia="仿宋_GB2312" w:cs="Times New Roman"/>
                <w:bCs/>
                <w:color w:val="000000" w:themeColor="text1"/>
                <w:sz w:val="28"/>
                <w:szCs w:val="28"/>
                <w:lang w:val="en-US" w:eastAsia="zh-CN"/>
              </w:rPr>
              <w:t>动建设中鼎汽车零部件、</w:t>
            </w:r>
            <w:r>
              <w:rPr>
                <w:rFonts w:hint="eastAsia" w:ascii="仿宋_GB2312" w:hAnsi="Times New Roman" w:eastAsia="仿宋_GB2312" w:cs="Times New Roman"/>
                <w:bCs/>
                <w:color w:val="000000" w:themeColor="text1"/>
                <w:sz w:val="28"/>
                <w:szCs w:val="28"/>
                <w:lang w:eastAsia="zh-CN"/>
              </w:rPr>
              <w:t>年产200百万套烟草机电配件及精整成套装备生产、年产2000台(</w:t>
            </w:r>
            <w:r>
              <w:rPr>
                <w:rFonts w:hint="eastAsia" w:ascii="仿宋_GB2312" w:hAnsi="Times New Roman" w:eastAsia="仿宋_GB2312"/>
                <w:bCs/>
                <w:color w:val="000000" w:themeColor="text1"/>
                <w:sz w:val="28"/>
                <w:szCs w:val="28"/>
                <w:lang w:eastAsia="zh-CN"/>
              </w:rPr>
              <w:t>套)研磨抛光、热弯成型、数控磨削等智能制造设备(装备)生产线、年产100万台(套)动车配件及5000台(套)气柜密封膜和一二次密封、物料输送成套装备及成套工程自动化技术研发与产业化、年产20万台套商用车空气悬架系统和免维护轮边系统、</w:t>
            </w:r>
            <w:r>
              <w:rPr>
                <w:rFonts w:hint="eastAsia" w:ascii="仿宋_GB2312" w:hAnsi="Times New Roman" w:eastAsia="仿宋_GB2312"/>
                <w:bCs/>
                <w:color w:val="000000" w:themeColor="text1"/>
                <w:sz w:val="28"/>
                <w:szCs w:val="28"/>
                <w:lang w:val="en-US" w:eastAsia="zh-CN"/>
              </w:rPr>
              <w:t>年产90万辆新能源汽车悬架系统、重型商用车空气弹簧及转向拉杆、</w:t>
            </w:r>
            <w:r>
              <w:rPr>
                <w:rFonts w:hint="eastAsia" w:ascii="仿宋_GB2312" w:hAnsi="Times New Roman" w:eastAsia="仿宋_GB2312"/>
                <w:bCs/>
                <w:color w:val="000000" w:themeColor="text1"/>
                <w:sz w:val="28"/>
                <w:szCs w:val="28"/>
                <w:lang w:eastAsia="zh-CN"/>
              </w:rPr>
              <w:t>年产5500台塑料机械设备制造、年产1万台套船舶配套设备生产线、年产10000盏太阳能LED路灯生产线、年产50万台净水器（智能化）生产线、新能源电池智能装备生产线、年产5000台（套）智能扫码一体机生产线</w:t>
            </w:r>
            <w:r>
              <w:rPr>
                <w:rFonts w:hint="eastAsia" w:ascii="仿宋_GB2312" w:hAnsi="Times New Roman" w:eastAsia="仿宋_GB2312"/>
                <w:bCs/>
                <w:color w:val="000000" w:themeColor="text1"/>
                <w:sz w:val="28"/>
                <w:szCs w:val="28"/>
                <w:lang w:val="en-US" w:eastAsia="zh-CN"/>
              </w:rPr>
              <w:t>等</w:t>
            </w:r>
            <w:r>
              <w:rPr>
                <w:rFonts w:hint="eastAsia" w:ascii="仿宋_GB2312" w:hAnsi="Times New Roman" w:eastAsia="仿宋_GB2312"/>
                <w:bCs/>
                <w:color w:val="000000" w:themeColor="text1"/>
                <w:sz w:val="28"/>
                <w:szCs w:val="28"/>
                <w:lang w:eastAsia="zh-CN"/>
              </w:rPr>
              <w:t>。</w:t>
            </w:r>
          </w:p>
        </w:tc>
      </w:tr>
    </w:tbl>
    <w:p w14:paraId="5D923697">
      <w:pPr>
        <w:spacing w:before="100" w:beforeAutospacing="1" w:after="100" w:afterAutospacing="1"/>
        <w:jc w:val="center"/>
        <w:outlineLvl w:val="1"/>
        <w:rPr>
          <w:rFonts w:ascii="Times New Roman" w:hAnsi="Times New Roman" w:eastAsia="黑体"/>
          <w:sz w:val="32"/>
          <w:szCs w:val="32"/>
        </w:rPr>
      </w:pPr>
      <w:bookmarkStart w:id="22" w:name="_Toc27836"/>
      <w:r>
        <w:rPr>
          <w:rFonts w:hint="eastAsia" w:ascii="Times New Roman" w:hAnsi="Times New Roman" w:eastAsia="黑体"/>
          <w:sz w:val="32"/>
          <w:szCs w:val="32"/>
        </w:rPr>
        <w:t>第二节</w:t>
      </w:r>
      <w:r>
        <w:rPr>
          <w:rFonts w:hint="eastAsia" w:ascii="Times New Roman" w:hAnsi="Times New Roman" w:eastAsia="黑体"/>
          <w:sz w:val="32"/>
          <w:szCs w:val="32"/>
          <w:lang w:val="en-US" w:eastAsia="zh-CN"/>
        </w:rPr>
        <w:t xml:space="preserve"> </w:t>
      </w:r>
      <w:r>
        <w:rPr>
          <w:rFonts w:hint="eastAsia" w:ascii="Times New Roman" w:hAnsi="Times New Roman" w:eastAsia="黑体"/>
          <w:sz w:val="32"/>
          <w:szCs w:val="32"/>
        </w:rPr>
        <w:t>培育壮大三大</w:t>
      </w:r>
      <w:r>
        <w:rPr>
          <w:rFonts w:ascii="Times New Roman" w:hAnsi="Times New Roman" w:eastAsia="黑体"/>
          <w:sz w:val="32"/>
          <w:szCs w:val="32"/>
        </w:rPr>
        <w:t>新兴产业</w:t>
      </w:r>
      <w:bookmarkEnd w:id="22"/>
    </w:p>
    <w:p w14:paraId="42611DEA">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积极导入沪苏浙</w:t>
      </w:r>
      <w:r>
        <w:rPr>
          <w:rFonts w:ascii="Times New Roman" w:hAnsi="Times New Roman" w:eastAsia="仿宋_GB2312"/>
          <w:sz w:val="32"/>
          <w:szCs w:val="32"/>
        </w:rPr>
        <w:t>优质创新资源，</w:t>
      </w:r>
      <w:r>
        <w:rPr>
          <w:rFonts w:hint="eastAsia" w:ascii="Times New Roman" w:hAnsi="Times New Roman" w:eastAsia="仿宋_GB2312"/>
          <w:sz w:val="32"/>
          <w:szCs w:val="32"/>
        </w:rPr>
        <w:t>积极</w:t>
      </w:r>
      <w:r>
        <w:rPr>
          <w:rFonts w:ascii="Times New Roman" w:hAnsi="Times New Roman" w:eastAsia="仿宋_GB2312"/>
          <w:sz w:val="32"/>
          <w:szCs w:val="32"/>
        </w:rPr>
        <w:t>承接高端产业转移，</w:t>
      </w:r>
      <w:r>
        <w:rPr>
          <w:rFonts w:hint="eastAsia" w:ascii="Times New Roman" w:hAnsi="Times New Roman" w:eastAsia="仿宋_GB2312"/>
          <w:sz w:val="32"/>
          <w:szCs w:val="32"/>
        </w:rPr>
        <w:t>深入</w:t>
      </w:r>
      <w:r>
        <w:rPr>
          <w:rFonts w:ascii="Times New Roman" w:hAnsi="Times New Roman" w:eastAsia="仿宋_GB2312"/>
          <w:sz w:val="32"/>
          <w:szCs w:val="32"/>
        </w:rPr>
        <w:t>推进</w:t>
      </w:r>
      <w:r>
        <w:rPr>
          <w:rFonts w:hint="eastAsia" w:ascii="Times New Roman" w:hAnsi="Times New Roman" w:eastAsia="仿宋_GB2312"/>
          <w:sz w:val="32"/>
          <w:szCs w:val="32"/>
        </w:rPr>
        <w:t>“三重一创”建设，加快建设</w:t>
      </w:r>
      <w:r>
        <w:rPr>
          <w:rFonts w:ascii="Times New Roman" w:hAnsi="Times New Roman" w:eastAsia="仿宋_GB2312"/>
          <w:sz w:val="32"/>
          <w:szCs w:val="32"/>
        </w:rPr>
        <w:t>一批</w:t>
      </w:r>
      <w:r>
        <w:rPr>
          <w:rFonts w:hint="eastAsia" w:ascii="Times New Roman" w:hAnsi="Times New Roman" w:eastAsia="仿宋_GB2312"/>
          <w:sz w:val="32"/>
          <w:szCs w:val="32"/>
        </w:rPr>
        <w:t>具有牵动性</w:t>
      </w:r>
      <w:r>
        <w:rPr>
          <w:rFonts w:ascii="Times New Roman" w:hAnsi="Times New Roman" w:eastAsia="仿宋_GB2312"/>
          <w:sz w:val="32"/>
          <w:szCs w:val="32"/>
        </w:rPr>
        <w:t>的战略性</w:t>
      </w:r>
      <w:r>
        <w:rPr>
          <w:rFonts w:hint="eastAsia" w:ascii="Times New Roman" w:hAnsi="Times New Roman" w:eastAsia="仿宋_GB2312"/>
          <w:sz w:val="32"/>
          <w:szCs w:val="32"/>
        </w:rPr>
        <w:t>新兴产业重大</w:t>
      </w:r>
      <w:r>
        <w:rPr>
          <w:rFonts w:ascii="Times New Roman" w:hAnsi="Times New Roman" w:eastAsia="仿宋_GB2312"/>
          <w:sz w:val="32"/>
          <w:szCs w:val="32"/>
        </w:rPr>
        <w:t>专项、工程和基地</w:t>
      </w:r>
      <w:r>
        <w:rPr>
          <w:rFonts w:hint="eastAsia" w:ascii="Times New Roman" w:hAnsi="Times New Roman" w:eastAsia="仿宋_GB2312"/>
          <w:sz w:val="32"/>
          <w:szCs w:val="32"/>
        </w:rPr>
        <w:t>。着力</w:t>
      </w:r>
      <w:r>
        <w:rPr>
          <w:rFonts w:ascii="Times New Roman" w:hAnsi="Times New Roman" w:eastAsia="仿宋_GB2312"/>
          <w:sz w:val="32"/>
          <w:szCs w:val="32"/>
        </w:rPr>
        <w:t>提升节能环保等优势</w:t>
      </w:r>
      <w:r>
        <w:rPr>
          <w:rFonts w:hint="eastAsia" w:ascii="Times New Roman" w:hAnsi="Times New Roman" w:eastAsia="仿宋_GB2312"/>
          <w:sz w:val="32"/>
          <w:szCs w:val="32"/>
        </w:rPr>
        <w:t>新兴</w:t>
      </w:r>
      <w:r>
        <w:rPr>
          <w:rFonts w:ascii="Times New Roman" w:hAnsi="Times New Roman" w:eastAsia="仿宋_GB2312"/>
          <w:sz w:val="32"/>
          <w:szCs w:val="32"/>
        </w:rPr>
        <w:t>产业，</w:t>
      </w:r>
      <w:r>
        <w:rPr>
          <w:rFonts w:hint="eastAsia" w:ascii="Times New Roman" w:hAnsi="Times New Roman" w:eastAsia="仿宋_GB2312"/>
          <w:sz w:val="32"/>
          <w:szCs w:val="32"/>
        </w:rPr>
        <w:t>积极培育</w:t>
      </w:r>
      <w:r>
        <w:rPr>
          <w:rFonts w:ascii="Times New Roman" w:hAnsi="Times New Roman" w:eastAsia="仿宋_GB2312"/>
          <w:sz w:val="32"/>
          <w:szCs w:val="32"/>
        </w:rPr>
        <w:t>新能源新材料、</w:t>
      </w:r>
      <w:r>
        <w:rPr>
          <w:rFonts w:hint="eastAsia" w:ascii="Times New Roman" w:hAnsi="Times New Roman" w:eastAsia="仿宋_GB2312"/>
          <w:sz w:val="32"/>
          <w:szCs w:val="32"/>
        </w:rPr>
        <w:t>医工</w:t>
      </w:r>
      <w:r>
        <w:rPr>
          <w:rFonts w:ascii="Times New Roman" w:hAnsi="Times New Roman" w:eastAsia="仿宋_GB2312"/>
          <w:sz w:val="32"/>
          <w:szCs w:val="32"/>
        </w:rPr>
        <w:t>医药健康等潜力</w:t>
      </w:r>
      <w:r>
        <w:rPr>
          <w:rFonts w:hint="eastAsia" w:ascii="Times New Roman" w:hAnsi="Times New Roman" w:eastAsia="仿宋_GB2312"/>
          <w:sz w:val="32"/>
          <w:szCs w:val="32"/>
        </w:rPr>
        <w:t>新兴</w:t>
      </w:r>
      <w:r>
        <w:rPr>
          <w:rFonts w:ascii="Times New Roman" w:hAnsi="Times New Roman" w:eastAsia="仿宋_GB2312"/>
          <w:sz w:val="32"/>
          <w:szCs w:val="32"/>
        </w:rPr>
        <w:t>产业，</w:t>
      </w:r>
      <w:r>
        <w:rPr>
          <w:rFonts w:hint="eastAsia" w:ascii="Times New Roman" w:hAnsi="Times New Roman" w:eastAsia="仿宋_GB2312"/>
          <w:sz w:val="32"/>
          <w:szCs w:val="32"/>
        </w:rPr>
        <w:t>超前布局若干</w:t>
      </w:r>
      <w:r>
        <w:rPr>
          <w:rFonts w:ascii="Times New Roman" w:hAnsi="Times New Roman" w:eastAsia="仿宋_GB2312"/>
          <w:sz w:val="32"/>
          <w:szCs w:val="32"/>
        </w:rPr>
        <w:t>未来产业，</w:t>
      </w:r>
      <w:r>
        <w:rPr>
          <w:rFonts w:hint="eastAsia" w:ascii="Times New Roman" w:hAnsi="Times New Roman" w:eastAsia="仿宋_GB2312"/>
          <w:sz w:val="32"/>
          <w:szCs w:val="32"/>
        </w:rPr>
        <w:t>构建</w:t>
      </w:r>
      <w:r>
        <w:rPr>
          <w:rFonts w:ascii="Times New Roman" w:hAnsi="Times New Roman" w:eastAsia="仿宋_GB2312"/>
          <w:sz w:val="32"/>
          <w:szCs w:val="32"/>
        </w:rPr>
        <w:t>战略性新兴产业梯次推进格局。</w:t>
      </w:r>
    </w:p>
    <w:p w14:paraId="1394293C">
      <w:pPr>
        <w:pStyle w:val="9"/>
        <w:ind w:firstLine="643"/>
        <w:rPr>
          <w:rFonts w:ascii="Times New Roman" w:hAnsi="Times New Roman" w:eastAsia="仿宋_GB2312"/>
          <w:sz w:val="32"/>
          <w:szCs w:val="32"/>
        </w:rPr>
      </w:pPr>
      <w:r>
        <w:rPr>
          <w:rFonts w:ascii="Times New Roman" w:hAnsi="Times New Roman" w:eastAsia="仿宋_GB2312"/>
          <w:b/>
          <w:sz w:val="32"/>
          <w:szCs w:val="32"/>
        </w:rPr>
        <w:t>节能环保产业。</w:t>
      </w:r>
      <w:r>
        <w:rPr>
          <w:rFonts w:hint="eastAsia" w:ascii="Times New Roman" w:hAnsi="Times New Roman" w:eastAsia="仿宋_GB2312"/>
          <w:sz w:val="32"/>
          <w:szCs w:val="32"/>
        </w:rPr>
        <w:t>培育壮大光伏新能源产业，</w:t>
      </w:r>
      <w:r>
        <w:rPr>
          <w:rFonts w:ascii="Times New Roman" w:hAnsi="Times New Roman" w:eastAsia="仿宋_GB2312"/>
          <w:sz w:val="32"/>
          <w:szCs w:val="32"/>
        </w:rPr>
        <w:t>依托中建材等龙头企业和核心项目，</w:t>
      </w:r>
      <w:r>
        <w:rPr>
          <w:rFonts w:hint="eastAsia" w:ascii="Times New Roman" w:hAnsi="Times New Roman" w:eastAsia="仿宋_GB2312"/>
          <w:sz w:val="32"/>
          <w:szCs w:val="32"/>
        </w:rPr>
        <w:t>建设</w:t>
      </w:r>
      <w:r>
        <w:rPr>
          <w:rFonts w:ascii="Times New Roman" w:hAnsi="Times New Roman" w:eastAsia="仿宋_GB2312"/>
          <w:sz w:val="32"/>
          <w:szCs w:val="32"/>
        </w:rPr>
        <w:t>硅基新材料产业园，加快发展光伏玻璃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电池及</w:t>
      </w:r>
      <w:r>
        <w:rPr>
          <w:rFonts w:ascii="Times New Roman" w:hAnsi="Times New Roman" w:eastAsia="仿宋_GB2312"/>
          <w:sz w:val="32"/>
          <w:szCs w:val="32"/>
        </w:rPr>
        <w:t>组件制造，</w:t>
      </w:r>
      <w:r>
        <w:rPr>
          <w:rFonts w:hint="eastAsia" w:ascii="Times New Roman" w:hAnsi="Times New Roman" w:eastAsia="仿宋_GB2312"/>
          <w:sz w:val="32"/>
          <w:szCs w:val="32"/>
        </w:rPr>
        <w:t>积极开发</w:t>
      </w:r>
      <w:r>
        <w:rPr>
          <w:rFonts w:ascii="Times New Roman" w:hAnsi="Times New Roman" w:eastAsia="仿宋_GB2312"/>
          <w:sz w:val="32"/>
          <w:szCs w:val="32"/>
        </w:rPr>
        <w:t>高应变点玻璃、导电玻璃、薄膜太阳能电池靶材、薄膜电池等</w:t>
      </w:r>
      <w:r>
        <w:rPr>
          <w:rFonts w:hint="eastAsia" w:ascii="Times New Roman" w:hAnsi="Times New Roman" w:eastAsia="仿宋_GB2312"/>
          <w:sz w:val="32"/>
          <w:szCs w:val="32"/>
        </w:rPr>
        <w:t>产品。</w:t>
      </w:r>
      <w:r>
        <w:rPr>
          <w:rFonts w:ascii="Times New Roman" w:hAnsi="Times New Roman" w:eastAsia="仿宋_GB2312"/>
          <w:sz w:val="32"/>
          <w:szCs w:val="32"/>
        </w:rPr>
        <w:t>加</w:t>
      </w:r>
      <w:r>
        <w:rPr>
          <w:rFonts w:hint="eastAsia" w:ascii="Times New Roman" w:hAnsi="Times New Roman" w:eastAsia="仿宋_GB2312"/>
          <w:sz w:val="32"/>
          <w:szCs w:val="32"/>
        </w:rPr>
        <w:t>大</w:t>
      </w:r>
      <w:r>
        <w:rPr>
          <w:rFonts w:ascii="Times New Roman" w:hAnsi="Times New Roman" w:eastAsia="仿宋_GB2312"/>
          <w:sz w:val="32"/>
          <w:szCs w:val="32"/>
        </w:rPr>
        <w:t>智慧农业等光伏新能源应用</w:t>
      </w:r>
      <w:r>
        <w:rPr>
          <w:rFonts w:hint="eastAsia" w:ascii="Times New Roman" w:hAnsi="Times New Roman" w:eastAsia="仿宋_GB2312"/>
          <w:sz w:val="32"/>
          <w:szCs w:val="32"/>
        </w:rPr>
        <w:t>力度。</w:t>
      </w:r>
      <w:r>
        <w:rPr>
          <w:rFonts w:ascii="Times New Roman" w:hAnsi="Times New Roman" w:eastAsia="仿宋_GB2312"/>
          <w:sz w:val="32"/>
          <w:szCs w:val="32"/>
        </w:rPr>
        <w:t>依托风电叶片加工产业基础，</w:t>
      </w:r>
      <w:r>
        <w:rPr>
          <w:rFonts w:hint="eastAsia" w:ascii="Times New Roman" w:hAnsi="Times New Roman" w:eastAsia="仿宋_GB2312"/>
          <w:sz w:val="32"/>
          <w:szCs w:val="32"/>
        </w:rPr>
        <w:t>推动</w:t>
      </w:r>
      <w:r>
        <w:rPr>
          <w:rFonts w:ascii="Times New Roman" w:hAnsi="Times New Roman" w:eastAsia="仿宋_GB2312"/>
          <w:sz w:val="32"/>
          <w:szCs w:val="32"/>
        </w:rPr>
        <w:t>风电装备大部件制造产业集聚发展。加</w:t>
      </w:r>
      <w:r>
        <w:rPr>
          <w:rFonts w:hint="eastAsia" w:ascii="Times New Roman" w:hAnsi="Times New Roman" w:eastAsia="仿宋_GB2312"/>
          <w:sz w:val="32"/>
          <w:szCs w:val="32"/>
        </w:rPr>
        <w:t>强</w:t>
      </w:r>
      <w:r>
        <w:rPr>
          <w:rFonts w:ascii="Times New Roman" w:hAnsi="Times New Roman" w:eastAsia="仿宋_GB2312"/>
          <w:sz w:val="32"/>
          <w:szCs w:val="32"/>
        </w:rPr>
        <w:t>安徽省桐城市节能环保特色产业集群建设</w:t>
      </w:r>
      <w:r>
        <w:rPr>
          <w:rFonts w:hint="eastAsia" w:ascii="Times New Roman" w:hAnsi="Times New Roman" w:eastAsia="仿宋_GB2312"/>
          <w:sz w:val="32"/>
          <w:szCs w:val="32"/>
        </w:rPr>
        <w:t>，积极发展</w:t>
      </w:r>
      <w:r>
        <w:rPr>
          <w:rFonts w:ascii="Times New Roman" w:hAnsi="Times New Roman" w:eastAsia="仿宋_GB2312"/>
          <w:sz w:val="32"/>
          <w:szCs w:val="32"/>
        </w:rPr>
        <w:t>节能环保成套装备</w:t>
      </w:r>
      <w:r>
        <w:rPr>
          <w:rFonts w:hint="eastAsia" w:ascii="Times New Roman" w:hAnsi="Times New Roman" w:eastAsia="仿宋_GB2312"/>
          <w:sz w:val="32"/>
          <w:szCs w:val="32"/>
        </w:rPr>
        <w:t>、</w:t>
      </w:r>
      <w:r>
        <w:rPr>
          <w:rFonts w:ascii="Times New Roman" w:hAnsi="Times New Roman" w:eastAsia="仿宋_GB2312"/>
          <w:sz w:val="32"/>
          <w:szCs w:val="32"/>
        </w:rPr>
        <w:t>减震降噪制品、新型节能建筑材料、新型光电节能产品等节能环保产品。到2025年，节能环保产业规模达</w:t>
      </w:r>
      <w:r>
        <w:rPr>
          <w:rFonts w:hint="eastAsia" w:ascii="Times New Roman" w:hAnsi="Times New Roman" w:eastAsia="仿宋_GB2312"/>
          <w:sz w:val="32"/>
          <w:szCs w:val="32"/>
        </w:rPr>
        <w:t>3</w:t>
      </w:r>
      <w:r>
        <w:rPr>
          <w:rFonts w:ascii="Times New Roman" w:hAnsi="Times New Roman" w:eastAsia="仿宋_GB2312"/>
          <w:sz w:val="32"/>
          <w:szCs w:val="32"/>
        </w:rPr>
        <w:t>00亿元，打造全</w:t>
      </w:r>
      <w:r>
        <w:rPr>
          <w:rFonts w:hint="eastAsia" w:ascii="Times New Roman" w:hAnsi="Times New Roman" w:eastAsia="仿宋_GB2312"/>
          <w:sz w:val="32"/>
          <w:szCs w:val="32"/>
        </w:rPr>
        <w:t>省光伏硅基材料、光伏组件产业基地和</w:t>
      </w:r>
      <w:r>
        <w:rPr>
          <w:rFonts w:ascii="Times New Roman" w:hAnsi="Times New Roman" w:eastAsia="仿宋_GB2312"/>
          <w:sz w:val="32"/>
          <w:szCs w:val="32"/>
        </w:rPr>
        <w:t>节能环保成套装备产业基地。</w:t>
      </w:r>
    </w:p>
    <w:p w14:paraId="466114DB">
      <w:pPr>
        <w:ind w:firstLine="643" w:firstLineChars="200"/>
        <w:rPr>
          <w:rFonts w:ascii="Times New Roman" w:hAnsi="Times New Roman" w:eastAsia="仿宋_GB2312"/>
          <w:sz w:val="32"/>
          <w:szCs w:val="32"/>
        </w:rPr>
      </w:pPr>
      <w:r>
        <w:rPr>
          <w:rFonts w:hint="eastAsia" w:ascii="Times New Roman" w:hAnsi="Times New Roman" w:eastAsia="仿宋_GB2312"/>
          <w:b/>
          <w:sz w:val="32"/>
          <w:szCs w:val="40"/>
        </w:rPr>
        <w:t>医工</w:t>
      </w:r>
      <w:r>
        <w:rPr>
          <w:rFonts w:ascii="Times New Roman" w:hAnsi="Times New Roman" w:eastAsia="仿宋_GB2312"/>
          <w:b/>
          <w:sz w:val="32"/>
          <w:szCs w:val="40"/>
        </w:rPr>
        <w:t>医药健康产业。</w:t>
      </w:r>
      <w:r>
        <w:rPr>
          <w:rFonts w:ascii="Times New Roman" w:hAnsi="Times New Roman" w:eastAsia="仿宋_GB2312"/>
          <w:sz w:val="32"/>
          <w:szCs w:val="32"/>
        </w:rPr>
        <w:t>以同位素产业园为载体，</w:t>
      </w:r>
      <w:r>
        <w:rPr>
          <w:rFonts w:hint="eastAsia" w:ascii="Times New Roman" w:hAnsi="Times New Roman" w:eastAsia="仿宋_GB2312"/>
          <w:sz w:val="32"/>
          <w:szCs w:val="32"/>
        </w:rPr>
        <w:t>大力</w:t>
      </w:r>
      <w:r>
        <w:rPr>
          <w:rFonts w:ascii="Times New Roman" w:hAnsi="Times New Roman" w:eastAsia="仿宋_GB2312"/>
          <w:sz w:val="32"/>
          <w:szCs w:val="32"/>
        </w:rPr>
        <w:t>推动稳定同位素项目集聚</w:t>
      </w:r>
      <w:r>
        <w:rPr>
          <w:rFonts w:hint="eastAsia" w:ascii="Times New Roman" w:hAnsi="Times New Roman" w:eastAsia="仿宋_GB2312"/>
          <w:sz w:val="32"/>
          <w:szCs w:val="32"/>
        </w:rPr>
        <w:t>发展，着力构建</w:t>
      </w:r>
      <w:r>
        <w:rPr>
          <w:rFonts w:ascii="Times New Roman" w:hAnsi="Times New Roman" w:eastAsia="仿宋_GB2312"/>
          <w:sz w:val="32"/>
          <w:szCs w:val="32"/>
        </w:rPr>
        <w:t>从稳定同位素分离、标记化合物制备到同位素原料药和检验检测试剂生产的全产业链。</w:t>
      </w:r>
      <w:r>
        <w:rPr>
          <w:rFonts w:hint="eastAsia" w:ascii="Times New Roman" w:hAnsi="Times New Roman" w:eastAsia="仿宋_GB2312"/>
          <w:sz w:val="32"/>
          <w:szCs w:val="32"/>
        </w:rPr>
        <w:t>主动</w:t>
      </w:r>
      <w:r>
        <w:rPr>
          <w:rFonts w:ascii="Times New Roman" w:hAnsi="Times New Roman" w:eastAsia="仿宋_GB2312"/>
          <w:sz w:val="32"/>
          <w:szCs w:val="32"/>
        </w:rPr>
        <w:t>对接合肥大科学中心和沪苏浙创新资源，</w:t>
      </w:r>
      <w:r>
        <w:rPr>
          <w:rFonts w:hint="eastAsia" w:ascii="Times New Roman" w:hAnsi="Times New Roman" w:eastAsia="仿宋_GB2312"/>
          <w:sz w:val="32"/>
          <w:szCs w:val="32"/>
        </w:rPr>
        <w:t>积极</w:t>
      </w:r>
      <w:r>
        <w:rPr>
          <w:rFonts w:ascii="Times New Roman" w:hAnsi="Times New Roman" w:eastAsia="仿宋_GB2312"/>
          <w:sz w:val="32"/>
          <w:szCs w:val="32"/>
        </w:rPr>
        <w:t>引入稳定同位素药物、医用检验检测设备（试剂）等研发生产龙头企业和人才团队。积极谋划布局数字化治疗设备、组织修复与可再生材料、人工器官与生命支持设备、健康监测装备等前沿领域，初步形成特色鲜明的</w:t>
      </w:r>
      <w:r>
        <w:rPr>
          <w:rFonts w:hint="eastAsia" w:ascii="Times New Roman" w:hAnsi="Times New Roman" w:eastAsia="仿宋_GB2312"/>
          <w:sz w:val="32"/>
          <w:szCs w:val="32"/>
        </w:rPr>
        <w:t>医工</w:t>
      </w:r>
      <w:r>
        <w:rPr>
          <w:rFonts w:ascii="Times New Roman" w:hAnsi="Times New Roman" w:eastAsia="仿宋_GB2312"/>
          <w:sz w:val="32"/>
          <w:szCs w:val="32"/>
        </w:rPr>
        <w:t>医药健康产业集群。到2025年，</w:t>
      </w:r>
      <w:r>
        <w:rPr>
          <w:rFonts w:hint="eastAsia" w:ascii="Times New Roman" w:hAnsi="Times New Roman" w:eastAsia="仿宋_GB2312"/>
          <w:sz w:val="32"/>
          <w:szCs w:val="32"/>
        </w:rPr>
        <w:t>医工</w:t>
      </w:r>
      <w:r>
        <w:rPr>
          <w:rFonts w:ascii="Times New Roman" w:hAnsi="Times New Roman" w:eastAsia="仿宋_GB2312"/>
          <w:sz w:val="32"/>
          <w:szCs w:val="32"/>
        </w:rPr>
        <w:t>医药健康产业规模达80亿元，</w:t>
      </w:r>
      <w:r>
        <w:rPr>
          <w:rFonts w:hint="eastAsia" w:ascii="Times New Roman" w:hAnsi="Times New Roman" w:eastAsia="仿宋_GB2312"/>
          <w:sz w:val="32"/>
          <w:szCs w:val="32"/>
        </w:rPr>
        <w:t>建成</w:t>
      </w:r>
      <w:r>
        <w:rPr>
          <w:rFonts w:ascii="Times New Roman" w:hAnsi="Times New Roman" w:eastAsia="仿宋_GB2312"/>
          <w:sz w:val="32"/>
          <w:szCs w:val="32"/>
        </w:rPr>
        <w:t>全国最大的稳定同位素研发制造基地。</w:t>
      </w:r>
    </w:p>
    <w:p w14:paraId="0D99A8F0">
      <w:pPr>
        <w:pStyle w:val="9"/>
        <w:ind w:firstLine="643"/>
      </w:pPr>
      <w:r>
        <w:rPr>
          <w:rFonts w:ascii="Times New Roman" w:hAnsi="Times New Roman" w:eastAsia="仿宋_GB2312"/>
          <w:b/>
          <w:sz w:val="32"/>
          <w:szCs w:val="32"/>
        </w:rPr>
        <w:t>新一代</w:t>
      </w:r>
      <w:r>
        <w:rPr>
          <w:rFonts w:hint="eastAsia" w:ascii="Times New Roman" w:hAnsi="Times New Roman" w:eastAsia="仿宋_GB2312"/>
          <w:b/>
          <w:sz w:val="32"/>
          <w:szCs w:val="32"/>
        </w:rPr>
        <w:t>电子</w:t>
      </w:r>
      <w:r>
        <w:rPr>
          <w:rFonts w:ascii="Times New Roman" w:hAnsi="Times New Roman" w:eastAsia="仿宋_GB2312"/>
          <w:b/>
          <w:sz w:val="32"/>
          <w:szCs w:val="32"/>
        </w:rPr>
        <w:t>信息</w:t>
      </w:r>
      <w:r>
        <w:rPr>
          <w:rFonts w:hint="eastAsia" w:ascii="Times New Roman" w:hAnsi="Times New Roman" w:eastAsia="仿宋_GB2312"/>
          <w:b/>
          <w:sz w:val="32"/>
          <w:szCs w:val="32"/>
        </w:rPr>
        <w:t>产业</w:t>
      </w:r>
      <w:r>
        <w:rPr>
          <w:rFonts w:ascii="Times New Roman" w:hAnsi="Times New Roman" w:eastAsia="仿宋_GB2312"/>
          <w:b/>
          <w:sz w:val="32"/>
          <w:szCs w:val="32"/>
        </w:rPr>
        <w:t>。</w:t>
      </w:r>
      <w:r>
        <w:rPr>
          <w:rFonts w:hint="eastAsia" w:ascii="Times New Roman" w:hAnsi="Times New Roman" w:eastAsia="仿宋_GB2312"/>
          <w:sz w:val="32"/>
          <w:szCs w:val="32"/>
        </w:rPr>
        <w:t>积极参与合肥</w:t>
      </w:r>
      <w:r>
        <w:rPr>
          <w:rFonts w:ascii="Times New Roman" w:hAnsi="Times New Roman" w:eastAsia="仿宋_GB2312"/>
          <w:sz w:val="32"/>
          <w:szCs w:val="40"/>
        </w:rPr>
        <w:t>世界级智能家电</w:t>
      </w:r>
      <w:r>
        <w:rPr>
          <w:rFonts w:hint="eastAsia" w:ascii="Times New Roman" w:hAnsi="Times New Roman" w:eastAsia="仿宋_GB2312"/>
          <w:sz w:val="32"/>
          <w:szCs w:val="40"/>
        </w:rPr>
        <w:t>和</w:t>
      </w:r>
      <w:r>
        <w:rPr>
          <w:rFonts w:ascii="Times New Roman" w:hAnsi="Times New Roman" w:eastAsia="仿宋_GB2312"/>
          <w:sz w:val="32"/>
          <w:szCs w:val="40"/>
        </w:rPr>
        <w:t>新一代信息技术产业集群分工合作</w:t>
      </w:r>
      <w:r>
        <w:rPr>
          <w:rFonts w:hint="eastAsia" w:ascii="Times New Roman" w:hAnsi="Times New Roman" w:eastAsia="仿宋_GB2312"/>
          <w:sz w:val="32"/>
          <w:szCs w:val="40"/>
        </w:rPr>
        <w:t>，培育电子信息配套产业。</w:t>
      </w:r>
      <w:r>
        <w:rPr>
          <w:rFonts w:ascii="Times New Roman" w:hAnsi="Times New Roman" w:eastAsia="仿宋_GB2312"/>
          <w:sz w:val="32"/>
          <w:szCs w:val="40"/>
        </w:rPr>
        <w:t>围绕智能家电</w:t>
      </w:r>
      <w:r>
        <w:rPr>
          <w:rFonts w:hint="eastAsia" w:ascii="Times New Roman" w:hAnsi="Times New Roman" w:eastAsia="仿宋_GB2312"/>
          <w:sz w:val="32"/>
          <w:szCs w:val="40"/>
        </w:rPr>
        <w:t>集群重点</w:t>
      </w:r>
      <w:r>
        <w:rPr>
          <w:rFonts w:ascii="Times New Roman" w:hAnsi="Times New Roman" w:eastAsia="仿宋_GB2312"/>
          <w:sz w:val="32"/>
          <w:szCs w:val="40"/>
        </w:rPr>
        <w:t>发展新型显示、液晶模组、电子电路等相关产业</w:t>
      </w:r>
      <w:r>
        <w:rPr>
          <w:rFonts w:hint="eastAsia" w:ascii="Times New Roman" w:hAnsi="Times New Roman" w:eastAsia="仿宋_GB2312"/>
          <w:sz w:val="32"/>
          <w:szCs w:val="40"/>
        </w:rPr>
        <w:t>，</w:t>
      </w:r>
      <w:r>
        <w:rPr>
          <w:rFonts w:ascii="Times New Roman" w:hAnsi="Times New Roman" w:eastAsia="仿宋_GB2312"/>
          <w:sz w:val="32"/>
          <w:szCs w:val="40"/>
        </w:rPr>
        <w:t>围绕集成电路</w:t>
      </w:r>
      <w:r>
        <w:rPr>
          <w:rFonts w:hint="eastAsia" w:ascii="Times New Roman" w:hAnsi="Times New Roman" w:eastAsia="仿宋_GB2312"/>
          <w:sz w:val="32"/>
          <w:szCs w:val="40"/>
        </w:rPr>
        <w:t>集群</w:t>
      </w:r>
      <w:r>
        <w:rPr>
          <w:rFonts w:ascii="Times New Roman" w:hAnsi="Times New Roman" w:eastAsia="仿宋_GB2312"/>
          <w:sz w:val="32"/>
          <w:szCs w:val="40"/>
        </w:rPr>
        <w:t>谋划布局高性能封装材料、集成电路封装测试等配套产业。</w:t>
      </w:r>
      <w:r>
        <w:rPr>
          <w:rFonts w:hint="eastAsia" w:ascii="Times New Roman" w:hAnsi="Times New Roman" w:eastAsia="仿宋_GB2312"/>
          <w:sz w:val="32"/>
          <w:szCs w:val="40"/>
        </w:rPr>
        <w:t>进一步</w:t>
      </w:r>
      <w:r>
        <w:rPr>
          <w:rFonts w:ascii="Times New Roman" w:hAnsi="Times New Roman" w:eastAsia="仿宋_GB2312"/>
          <w:sz w:val="32"/>
          <w:szCs w:val="40"/>
        </w:rPr>
        <w:t>推动电子玻纤材料、LED照明等产业提质增效。</w:t>
      </w:r>
    </w:p>
    <w:p w14:paraId="78267647">
      <w:pPr>
        <w:ind w:firstLine="643" w:firstLineChars="200"/>
        <w:jc w:val="left"/>
        <w:rPr>
          <w:rFonts w:ascii="Times New Roman" w:hAnsi="Times New Roman" w:eastAsia="仿宋_GB2312"/>
          <w:sz w:val="32"/>
          <w:szCs w:val="32"/>
        </w:rPr>
      </w:pPr>
      <w:r>
        <w:rPr>
          <w:rFonts w:ascii="Times New Roman" w:hAnsi="Times New Roman" w:eastAsia="仿宋_GB2312"/>
          <w:b/>
          <w:sz w:val="32"/>
          <w:szCs w:val="40"/>
        </w:rPr>
        <w:t>未来产业。</w:t>
      </w:r>
      <w:r>
        <w:rPr>
          <w:rFonts w:ascii="Times New Roman" w:hAnsi="Times New Roman" w:eastAsia="仿宋_GB2312"/>
          <w:sz w:val="32"/>
          <w:szCs w:val="32"/>
        </w:rPr>
        <w:t>积极引进</w:t>
      </w:r>
      <w:r>
        <w:rPr>
          <w:rFonts w:hint="eastAsia" w:ascii="Times New Roman" w:hAnsi="Times New Roman" w:eastAsia="仿宋_GB2312"/>
          <w:sz w:val="32"/>
          <w:szCs w:val="32"/>
        </w:rPr>
        <w:t>沪苏浙</w:t>
      </w:r>
      <w:r>
        <w:rPr>
          <w:rFonts w:ascii="Times New Roman" w:hAnsi="Times New Roman" w:eastAsia="仿宋_GB2312"/>
          <w:sz w:val="32"/>
          <w:szCs w:val="32"/>
        </w:rPr>
        <w:t>高质量创新资源，加大创新人才和人才团队招引</w:t>
      </w:r>
      <w:r>
        <w:rPr>
          <w:rFonts w:hint="eastAsia" w:ascii="Times New Roman" w:hAnsi="Times New Roman" w:eastAsia="仿宋_GB2312"/>
          <w:sz w:val="32"/>
          <w:szCs w:val="32"/>
        </w:rPr>
        <w:t>力度</w:t>
      </w:r>
      <w:r>
        <w:rPr>
          <w:rFonts w:ascii="Times New Roman" w:hAnsi="Times New Roman" w:eastAsia="仿宋_GB2312"/>
          <w:sz w:val="32"/>
          <w:szCs w:val="32"/>
        </w:rPr>
        <w:t>，积极组织实施一批重大科技专项，突破一批核心技术和关键性共性技术，实施未来产业培育专项行动。围绕人工智能、下一代机器人、精准医疗、先进光伏材料、智能网联汽车、体外诊断、靶向药物等领域谋划布局N个未来产业，形成新的产业集聚核心。</w:t>
      </w:r>
    </w:p>
    <w:p w14:paraId="2CC562F2">
      <w:pPr>
        <w:pStyle w:val="2"/>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4"/>
      </w:tblGrid>
      <w:tr w14:paraId="20844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8414" w:type="dxa"/>
          </w:tcPr>
          <w:p w14:paraId="186AE9F5">
            <w:pPr>
              <w:spacing w:line="400" w:lineRule="exact"/>
              <w:ind w:firstLine="602" w:firstLineChars="200"/>
              <w:jc w:val="center"/>
              <w:rPr>
                <w:rFonts w:hint="eastAsia" w:ascii="楷体" w:hAnsi="楷体" w:eastAsia="楷体" w:cs="仿宋_GB2312"/>
                <w:b/>
                <w:color w:val="auto"/>
                <w:sz w:val="30"/>
                <w:szCs w:val="30"/>
                <w:lang w:val="zh-CN"/>
              </w:rPr>
            </w:pPr>
            <w:r>
              <w:rPr>
                <w:rFonts w:hint="eastAsia" w:ascii="楷体" w:hAnsi="楷体" w:eastAsia="楷体" w:cs="仿宋_GB2312"/>
                <w:b/>
                <w:color w:val="auto"/>
                <w:sz w:val="30"/>
                <w:szCs w:val="30"/>
                <w:lang w:val="zh-CN"/>
              </w:rPr>
              <w:t>专栏3：战略性新兴产业重点项目</w:t>
            </w:r>
          </w:p>
          <w:p w14:paraId="2617333A">
            <w:pPr>
              <w:spacing w:line="400" w:lineRule="exact"/>
              <w:ind w:firstLine="562" w:firstLineChars="200"/>
              <w:rPr>
                <w:rFonts w:hint="eastAsia" w:ascii="仿宋_GB2312" w:hAnsi="Times New Roman" w:eastAsia="仿宋_GB2312"/>
                <w:b/>
                <w:color w:val="000000" w:themeColor="text1"/>
                <w:sz w:val="28"/>
              </w:rPr>
            </w:pPr>
          </w:p>
          <w:p w14:paraId="1ADA3E61">
            <w:pPr>
              <w:spacing w:line="400" w:lineRule="exact"/>
              <w:ind w:firstLine="562" w:firstLineChars="200"/>
              <w:rPr>
                <w:rFonts w:hint="eastAsia" w:ascii="仿宋_GB2312" w:hAnsi="Times New Roman" w:eastAsia="仿宋_GB2312"/>
                <w:color w:val="000000" w:themeColor="text1"/>
                <w:sz w:val="28"/>
                <w:lang w:eastAsia="zh-CN"/>
              </w:rPr>
            </w:pPr>
            <w:r>
              <w:rPr>
                <w:rFonts w:hint="eastAsia" w:ascii="仿宋_GB2312" w:hAnsi="Times New Roman" w:eastAsia="仿宋_GB2312"/>
                <w:b/>
                <w:color w:val="000000" w:themeColor="text1"/>
                <w:sz w:val="28"/>
              </w:rPr>
              <w:t>节能环保产业。</w:t>
            </w:r>
            <w:r>
              <w:rPr>
                <w:rFonts w:hint="eastAsia" w:ascii="仿宋_GB2312" w:hAnsi="Times New Roman" w:eastAsia="仿宋_GB2312"/>
                <w:color w:val="000000" w:themeColor="text1"/>
                <w:sz w:val="28"/>
                <w:lang w:val="en-US" w:eastAsia="zh-CN"/>
              </w:rPr>
              <w:t>推动建设碳纤维新材料基地、</w:t>
            </w:r>
            <w:r>
              <w:rPr>
                <w:rFonts w:hint="eastAsia" w:ascii="仿宋_GB2312" w:hAnsi="Times New Roman" w:eastAsia="仿宋_GB2312"/>
                <w:color w:val="000000" w:themeColor="text1"/>
                <w:sz w:val="28"/>
              </w:rPr>
              <w:t>金属表面处理中心、年处理20万吨固体废料再利用、年产1000台环保设备制造、年产10万环保设备生产线、年产20台（套）新型环保运输机械设备生产线、年处理200万吨城市建筑垃圾再生利用、年产5000台套节能型水轮机生产线、年产5000吨环保型装饰新材料、年产50万米轻质新型环保隔墙板、</w:t>
            </w:r>
            <w:r>
              <w:rPr>
                <w:rFonts w:hint="eastAsia" w:ascii="仿宋_GB2312" w:hAnsi="Times New Roman" w:eastAsia="仿宋_GB2312"/>
                <w:color w:val="000000" w:themeColor="text1"/>
                <w:sz w:val="28"/>
                <w:lang w:eastAsia="zh-CN"/>
              </w:rPr>
              <w:t>年产120万吨新型节能材料生产线、磁流变弹性体智能新材料科技装备</w:t>
            </w:r>
            <w:r>
              <w:rPr>
                <w:rFonts w:hint="eastAsia" w:ascii="仿宋_GB2312" w:hAnsi="Times New Roman" w:eastAsia="仿宋_GB2312"/>
                <w:color w:val="000000" w:themeColor="text1"/>
                <w:sz w:val="28"/>
                <w:lang w:val="en-US" w:eastAsia="zh-CN"/>
              </w:rPr>
              <w:t>、</w:t>
            </w:r>
            <w:r>
              <w:rPr>
                <w:rFonts w:hint="eastAsia" w:ascii="仿宋_GB2312" w:hAnsi="Times New Roman" w:eastAsia="仿宋_GB2312"/>
                <w:color w:val="000000" w:themeColor="text1"/>
                <w:sz w:val="28"/>
              </w:rPr>
              <w:t>年产1GW高效单晶太阳能电池及组件</w:t>
            </w:r>
            <w:r>
              <w:rPr>
                <w:rFonts w:hint="eastAsia" w:ascii="仿宋_GB2312" w:hAnsi="Times New Roman" w:eastAsia="仿宋_GB2312"/>
                <w:color w:val="000000" w:themeColor="text1"/>
                <w:sz w:val="28"/>
                <w:lang w:eastAsia="zh-CN"/>
              </w:rPr>
              <w:t>、</w:t>
            </w:r>
            <w:r>
              <w:rPr>
                <w:rFonts w:hint="eastAsia" w:ascii="仿宋_GB2312" w:hAnsi="Times New Roman" w:eastAsia="仿宋_GB2312"/>
                <w:color w:val="000000" w:themeColor="text1"/>
                <w:sz w:val="28"/>
              </w:rPr>
              <w:t>新能源电池智能装备生产线、太阳能装备用光伏电池封装材料、年产150套风电塔筒、年产3000万平方米太阳能硅基新材料、年产2000万平方米耐高温工业涂层织物、年产600MW风力发电机组风能叶片、安徽硅基新材料（桐城）基地、磁流变弹性体智能新材料科技装备化</w:t>
            </w:r>
            <w:r>
              <w:rPr>
                <w:rFonts w:hint="eastAsia" w:ascii="仿宋_GB2312" w:hAnsi="Times New Roman" w:eastAsia="仿宋_GB2312"/>
                <w:color w:val="000000" w:themeColor="text1"/>
                <w:sz w:val="28"/>
                <w:lang w:eastAsia="zh-CN"/>
              </w:rPr>
              <w:t>、年产1000万只风力发电机用电刷</w:t>
            </w:r>
            <w:r>
              <w:rPr>
                <w:rFonts w:hint="eastAsia" w:ascii="仿宋_GB2312" w:hAnsi="Times New Roman" w:eastAsia="仿宋_GB2312"/>
                <w:color w:val="000000" w:themeColor="text1"/>
                <w:sz w:val="28"/>
                <w:lang w:val="en-US" w:eastAsia="zh-CN"/>
              </w:rPr>
              <w:t>等</w:t>
            </w:r>
            <w:r>
              <w:rPr>
                <w:rFonts w:hint="eastAsia" w:ascii="仿宋_GB2312" w:hAnsi="Times New Roman" w:eastAsia="仿宋_GB2312"/>
                <w:color w:val="000000" w:themeColor="text1"/>
                <w:sz w:val="28"/>
                <w:lang w:eastAsia="zh-CN"/>
              </w:rPr>
              <w:t>。</w:t>
            </w:r>
          </w:p>
          <w:p w14:paraId="665BA16D">
            <w:pPr>
              <w:spacing w:line="400" w:lineRule="exact"/>
              <w:ind w:firstLine="562" w:firstLineChars="200"/>
              <w:rPr>
                <w:rFonts w:ascii="宋体" w:hAnsi="宋体" w:cs="宋体"/>
                <w:bCs/>
                <w:spacing w:val="-14"/>
                <w:szCs w:val="21"/>
                <w:lang w:val="zh-CN"/>
              </w:rPr>
            </w:pPr>
            <w:r>
              <w:rPr>
                <w:rFonts w:hint="eastAsia" w:ascii="仿宋_GB2312" w:hAnsi="Times New Roman" w:eastAsia="仿宋_GB2312"/>
                <w:b/>
                <w:color w:val="000000" w:themeColor="text1"/>
                <w:sz w:val="28"/>
              </w:rPr>
              <w:t>医工医药健康产业。</w:t>
            </w:r>
            <w:r>
              <w:rPr>
                <w:rFonts w:hint="eastAsia" w:ascii="仿宋_GB2312" w:hAnsi="Times New Roman" w:eastAsia="仿宋_GB2312"/>
                <w:color w:val="000000" w:themeColor="text1"/>
                <w:sz w:val="28"/>
                <w:lang w:val="en-US" w:eastAsia="zh-CN"/>
              </w:rPr>
              <w:t>推动建设</w:t>
            </w:r>
            <w:r>
              <w:rPr>
                <w:rFonts w:hint="eastAsia" w:ascii="仿宋_GB2312" w:hAnsi="Times New Roman" w:eastAsia="仿宋_GB2312"/>
                <w:bCs/>
                <w:color w:val="000000" w:themeColor="text1"/>
                <w:sz w:val="28"/>
              </w:rPr>
              <w:t>高丰度碳13-CO气体富集、医疗器械及体外诊断试剂建设项目、年产6000万只医疗用品生产线建设项目、药品罐装GMP生产线、年产50万颗结肠动力检测标记物生产线、年产500万套医疗器械、5万吨抗（抑）菌剂和化妆品复配分装</w:t>
            </w:r>
            <w:r>
              <w:rPr>
                <w:rFonts w:hint="eastAsia" w:ascii="仿宋_GB2312" w:hAnsi="Times New Roman" w:eastAsia="仿宋_GB2312"/>
                <w:bCs/>
                <w:color w:val="000000" w:themeColor="text1"/>
                <w:sz w:val="28"/>
                <w:lang w:val="en-US" w:eastAsia="zh-CN"/>
              </w:rPr>
              <w:t>等</w:t>
            </w:r>
            <w:r>
              <w:rPr>
                <w:rFonts w:hint="eastAsia" w:ascii="仿宋_GB2312" w:hAnsi="Times New Roman" w:eastAsia="仿宋_GB2312"/>
                <w:bCs/>
                <w:color w:val="000000" w:themeColor="text1"/>
                <w:sz w:val="28"/>
                <w:lang w:eastAsia="zh-CN"/>
              </w:rPr>
              <w:t>。</w:t>
            </w:r>
          </w:p>
        </w:tc>
      </w:tr>
    </w:tbl>
    <w:p w14:paraId="6DCB4BED">
      <w:pPr>
        <w:spacing w:before="100" w:beforeAutospacing="1" w:after="100" w:afterAutospacing="1"/>
        <w:jc w:val="center"/>
        <w:outlineLvl w:val="1"/>
        <w:rPr>
          <w:rFonts w:ascii="Times New Roman" w:hAnsi="Times New Roman" w:eastAsia="黑体"/>
          <w:sz w:val="32"/>
          <w:szCs w:val="32"/>
        </w:rPr>
      </w:pPr>
      <w:bookmarkStart w:id="23" w:name="_Toc5827"/>
      <w:r>
        <w:rPr>
          <w:rFonts w:ascii="Times New Roman" w:hAnsi="Times New Roman" w:eastAsia="黑体"/>
          <w:sz w:val="32"/>
          <w:szCs w:val="32"/>
        </w:rPr>
        <w:t>第</w:t>
      </w:r>
      <w:r>
        <w:rPr>
          <w:rFonts w:hint="eastAsia" w:ascii="Times New Roman" w:hAnsi="Times New Roman" w:eastAsia="黑体"/>
          <w:sz w:val="32"/>
          <w:szCs w:val="32"/>
        </w:rPr>
        <w:t>三</w:t>
      </w:r>
      <w:r>
        <w:rPr>
          <w:rFonts w:ascii="Times New Roman" w:hAnsi="Times New Roman" w:eastAsia="黑体"/>
          <w:sz w:val="32"/>
          <w:szCs w:val="32"/>
        </w:rPr>
        <w:t>节</w:t>
      </w:r>
      <w:r>
        <w:rPr>
          <w:rFonts w:hint="eastAsia" w:ascii="Times New Roman" w:hAnsi="Times New Roman" w:eastAsia="黑体"/>
          <w:sz w:val="32"/>
          <w:szCs w:val="32"/>
        </w:rPr>
        <w:t xml:space="preserve"> </w:t>
      </w:r>
      <w:r>
        <w:rPr>
          <w:rFonts w:ascii="Times New Roman" w:hAnsi="Times New Roman" w:eastAsia="黑体"/>
          <w:sz w:val="32"/>
          <w:szCs w:val="32"/>
        </w:rPr>
        <w:t>巩固</w:t>
      </w:r>
      <w:r>
        <w:rPr>
          <w:rFonts w:hint="eastAsia" w:ascii="Times New Roman" w:hAnsi="Times New Roman" w:eastAsia="黑体"/>
          <w:sz w:val="32"/>
          <w:szCs w:val="32"/>
        </w:rPr>
        <w:t>提升三大</w:t>
      </w:r>
      <w:r>
        <w:rPr>
          <w:rFonts w:ascii="Times New Roman" w:hAnsi="Times New Roman" w:eastAsia="黑体"/>
          <w:sz w:val="32"/>
          <w:szCs w:val="32"/>
        </w:rPr>
        <w:t>传统产业</w:t>
      </w:r>
      <w:bookmarkEnd w:id="21"/>
      <w:bookmarkEnd w:id="23"/>
    </w:p>
    <w:p w14:paraId="5779DE11">
      <w:pPr>
        <w:ind w:firstLine="640" w:firstLineChars="200"/>
        <w:rPr>
          <w:rFonts w:ascii="Times New Roman" w:hAnsi="Times New Roman" w:eastAsia="仿宋_GB2312"/>
          <w:sz w:val="32"/>
          <w:szCs w:val="32"/>
        </w:rPr>
      </w:pPr>
      <w:bookmarkStart w:id="24" w:name="_Toc53003425"/>
      <w:r>
        <w:rPr>
          <w:rFonts w:ascii="Times New Roman" w:hAnsi="Times New Roman" w:eastAsia="仿宋_GB2312"/>
          <w:sz w:val="32"/>
          <w:szCs w:val="32"/>
        </w:rPr>
        <w:t>聚焦生态家纺、安全健康防护、绿色装饰</w:t>
      </w:r>
      <w:r>
        <w:rPr>
          <w:rFonts w:hint="eastAsia" w:ascii="Times New Roman" w:hAnsi="Times New Roman" w:eastAsia="仿宋_GB2312"/>
          <w:sz w:val="32"/>
          <w:szCs w:val="32"/>
        </w:rPr>
        <w:t>3</w:t>
      </w:r>
      <w:r>
        <w:rPr>
          <w:rFonts w:ascii="Times New Roman" w:hAnsi="Times New Roman" w:eastAsia="仿宋_GB2312"/>
          <w:sz w:val="32"/>
          <w:szCs w:val="32"/>
        </w:rPr>
        <w:t>大传统优势领域，</w:t>
      </w:r>
      <w:r>
        <w:rPr>
          <w:rFonts w:hint="eastAsia" w:ascii="Times New Roman" w:hAnsi="Times New Roman" w:eastAsia="仿宋_GB2312"/>
          <w:sz w:val="32"/>
          <w:szCs w:val="32"/>
        </w:rPr>
        <w:t>加快</w:t>
      </w:r>
      <w:r>
        <w:rPr>
          <w:rFonts w:ascii="Times New Roman" w:hAnsi="Times New Roman" w:eastAsia="仿宋_GB2312"/>
          <w:sz w:val="32"/>
          <w:szCs w:val="32"/>
        </w:rPr>
        <w:t>技术工艺创新、数字经济赋能和商业模式创新，推动生产方式向绿色化、智能化、精细化、高端化转变</w:t>
      </w:r>
      <w:r>
        <w:rPr>
          <w:rFonts w:hint="eastAsia" w:ascii="Times New Roman" w:hAnsi="Times New Roman" w:eastAsia="仿宋_GB2312"/>
          <w:sz w:val="32"/>
          <w:szCs w:val="32"/>
        </w:rPr>
        <w:t>。</w:t>
      </w:r>
    </w:p>
    <w:p w14:paraId="4F9DD2CB">
      <w:pPr>
        <w:ind w:firstLine="643" w:firstLineChars="200"/>
        <w:rPr>
          <w:rFonts w:ascii="Times New Roman" w:hAnsi="Times New Roman" w:eastAsia="仿宋_GB2312"/>
          <w:sz w:val="32"/>
          <w:szCs w:val="32"/>
        </w:rPr>
      </w:pPr>
      <w:r>
        <w:rPr>
          <w:rFonts w:ascii="Times New Roman" w:hAnsi="Times New Roman" w:eastAsia="仿宋_GB2312"/>
          <w:b/>
          <w:sz w:val="32"/>
          <w:szCs w:val="32"/>
        </w:rPr>
        <w:t>生态家纺产业。</w:t>
      </w:r>
      <w:r>
        <w:rPr>
          <w:rFonts w:ascii="Times New Roman" w:hAnsi="Times New Roman" w:eastAsia="仿宋_GB2312"/>
          <w:sz w:val="32"/>
          <w:szCs w:val="32"/>
        </w:rPr>
        <w:t>大力发展以羽绒制品、蚕丝制品、床上纺织品为重点的家居纺织产业，加强羽绒家纺与现代家居用品跨界融合。加快新制造等数字技术赋能，推动生态家纺产业向高端化、智能化、个性化定制等方向转型升级</w:t>
      </w:r>
      <w:r>
        <w:rPr>
          <w:rFonts w:hint="eastAsia" w:ascii="Times New Roman" w:hAnsi="Times New Roman" w:eastAsia="仿宋_GB2312"/>
          <w:sz w:val="32"/>
          <w:szCs w:val="32"/>
        </w:rPr>
        <w:t>，</w:t>
      </w:r>
      <w:r>
        <w:rPr>
          <w:rFonts w:ascii="Times New Roman" w:hAnsi="Times New Roman" w:eastAsia="仿宋_GB2312"/>
          <w:sz w:val="32"/>
          <w:szCs w:val="32"/>
        </w:rPr>
        <w:t>引导家纺企业由加工制造环节向研发设计和品牌营销延伸。到2025年，生态家纺产业规模达100亿元，打造一批中国乃至世界品牌，</w:t>
      </w:r>
      <w:r>
        <w:rPr>
          <w:rFonts w:hint="eastAsia" w:ascii="Times New Roman" w:hAnsi="Times New Roman" w:eastAsia="仿宋_GB2312"/>
          <w:sz w:val="32"/>
          <w:szCs w:val="32"/>
        </w:rPr>
        <w:t>建成</w:t>
      </w:r>
      <w:r>
        <w:rPr>
          <w:rFonts w:ascii="Times New Roman" w:hAnsi="Times New Roman" w:eastAsia="仿宋_GB2312"/>
          <w:sz w:val="32"/>
          <w:szCs w:val="32"/>
        </w:rPr>
        <w:t>具有全国影响力的生态家纺产业集群。</w:t>
      </w:r>
    </w:p>
    <w:p w14:paraId="2955AD49">
      <w:pPr>
        <w:ind w:firstLine="643" w:firstLineChars="200"/>
        <w:rPr>
          <w:rFonts w:ascii="Times New Roman" w:hAnsi="Times New Roman" w:eastAsia="仿宋_GB2312"/>
          <w:sz w:val="32"/>
          <w:szCs w:val="32"/>
        </w:rPr>
      </w:pPr>
      <w:r>
        <w:rPr>
          <w:rFonts w:ascii="Times New Roman" w:hAnsi="Times New Roman" w:eastAsia="仿宋_GB2312"/>
          <w:b/>
          <w:sz w:val="32"/>
          <w:szCs w:val="32"/>
        </w:rPr>
        <w:t>安全健康防护产业。</w:t>
      </w:r>
      <w:r>
        <w:rPr>
          <w:rFonts w:ascii="Times New Roman" w:hAnsi="Times New Roman" w:eastAsia="仿宋_GB2312"/>
          <w:sz w:val="32"/>
          <w:szCs w:val="32"/>
        </w:rPr>
        <w:t>依托青草镇产业集聚发展基础，加快建设青草安健产业园，</w:t>
      </w:r>
      <w:r>
        <w:rPr>
          <w:rFonts w:hint="eastAsia" w:ascii="Times New Roman" w:hAnsi="Times New Roman" w:eastAsia="仿宋_GB2312"/>
          <w:sz w:val="32"/>
          <w:szCs w:val="32"/>
        </w:rPr>
        <w:t>促进企业间上下游产业对接、配套协作、融合发展。</w:t>
      </w:r>
      <w:r>
        <w:rPr>
          <w:rFonts w:ascii="Times New Roman" w:hAnsi="Times New Roman" w:eastAsia="仿宋_GB2312"/>
          <w:sz w:val="32"/>
          <w:szCs w:val="32"/>
        </w:rPr>
        <w:t>鼓励有条件</w:t>
      </w:r>
      <w:r>
        <w:rPr>
          <w:rFonts w:hint="eastAsia" w:ascii="Times New Roman" w:hAnsi="Times New Roman" w:eastAsia="仿宋_GB2312"/>
          <w:sz w:val="32"/>
          <w:szCs w:val="32"/>
        </w:rPr>
        <w:t>的</w:t>
      </w:r>
      <w:r>
        <w:rPr>
          <w:rFonts w:ascii="Times New Roman" w:hAnsi="Times New Roman" w:eastAsia="仿宋_GB2312"/>
          <w:sz w:val="32"/>
          <w:szCs w:val="32"/>
        </w:rPr>
        <w:t>企业申请医用防护用品生产资质，</w:t>
      </w:r>
      <w:r>
        <w:rPr>
          <w:rFonts w:hint="eastAsia" w:ascii="Times New Roman" w:hAnsi="Times New Roman" w:eastAsia="仿宋_GB2312"/>
          <w:sz w:val="32"/>
          <w:szCs w:val="32"/>
        </w:rPr>
        <w:t>加快建设一批</w:t>
      </w:r>
      <w:r>
        <w:rPr>
          <w:rFonts w:ascii="Times New Roman" w:hAnsi="Times New Roman" w:eastAsia="仿宋_GB2312"/>
          <w:sz w:val="32"/>
          <w:szCs w:val="32"/>
        </w:rPr>
        <w:t>医用级生产车间</w:t>
      </w:r>
      <w:r>
        <w:rPr>
          <w:rFonts w:hint="eastAsia" w:ascii="Times New Roman" w:hAnsi="Times New Roman" w:eastAsia="仿宋_GB2312"/>
          <w:sz w:val="32"/>
          <w:szCs w:val="32"/>
        </w:rPr>
        <w:t>，</w:t>
      </w:r>
      <w:r>
        <w:rPr>
          <w:rFonts w:ascii="Times New Roman" w:hAnsi="Times New Roman" w:eastAsia="仿宋_GB2312"/>
          <w:sz w:val="32"/>
          <w:szCs w:val="32"/>
        </w:rPr>
        <w:t>重点发展医用防护口罩、防护服、隔离服等医用安全健康防护用品。完善医学防护、工业防护、日常生活防护等完整产品体系</w:t>
      </w:r>
      <w:r>
        <w:rPr>
          <w:rFonts w:hint="eastAsia" w:ascii="Times New Roman" w:hAnsi="Times New Roman" w:eastAsia="仿宋_GB2312"/>
          <w:sz w:val="32"/>
          <w:szCs w:val="32"/>
        </w:rPr>
        <w:t>，</w:t>
      </w:r>
      <w:r>
        <w:rPr>
          <w:rFonts w:ascii="Times New Roman" w:hAnsi="Times New Roman" w:eastAsia="仿宋_GB2312"/>
          <w:sz w:val="32"/>
          <w:szCs w:val="32"/>
        </w:rPr>
        <w:t>推动劳保用品产业向安全健康防护用品全产业链升级。加快原辅料采购和产品开发销售一体化数字化交易平台建设。到2025年，安全健康防护产业规模达</w:t>
      </w:r>
      <w:r>
        <w:rPr>
          <w:rFonts w:hint="eastAsia" w:ascii="Times New Roman" w:hAnsi="Times New Roman" w:eastAsia="仿宋_GB2312"/>
          <w:sz w:val="32"/>
          <w:szCs w:val="32"/>
          <w:lang w:val="en-US" w:eastAsia="zh-CN"/>
        </w:rPr>
        <w:t>50</w:t>
      </w:r>
      <w:r>
        <w:rPr>
          <w:rFonts w:ascii="Times New Roman" w:hAnsi="Times New Roman" w:eastAsia="仿宋_GB2312"/>
          <w:sz w:val="32"/>
          <w:szCs w:val="32"/>
        </w:rPr>
        <w:t>亿元，打造全国一流的安全健康防护产业基地。</w:t>
      </w:r>
    </w:p>
    <w:p w14:paraId="2D70F65D">
      <w:pPr>
        <w:ind w:left="105" w:leftChars="50" w:firstLine="482" w:firstLineChars="150"/>
        <w:rPr>
          <w:rFonts w:ascii="Times New Roman" w:hAnsi="Times New Roman" w:eastAsia="仿宋_GB2312"/>
          <w:sz w:val="32"/>
          <w:szCs w:val="32"/>
        </w:rPr>
      </w:pPr>
      <w:r>
        <w:rPr>
          <w:rFonts w:ascii="Times New Roman" w:hAnsi="Times New Roman" w:eastAsia="仿宋_GB2312"/>
          <w:b/>
          <w:sz w:val="32"/>
          <w:szCs w:val="32"/>
        </w:rPr>
        <w:t>绿色装饰产业。</w:t>
      </w:r>
      <w:r>
        <w:rPr>
          <w:rFonts w:ascii="Times New Roman" w:hAnsi="Times New Roman" w:eastAsia="仿宋_GB2312"/>
          <w:sz w:val="32"/>
          <w:szCs w:val="32"/>
        </w:rPr>
        <w:t>组建绿色装饰材料研究院，加强</w:t>
      </w:r>
      <w:r>
        <w:rPr>
          <w:rFonts w:hint="eastAsia" w:ascii="Times New Roman" w:hAnsi="Times New Roman" w:eastAsia="仿宋_GB2312"/>
          <w:sz w:val="32"/>
          <w:szCs w:val="32"/>
        </w:rPr>
        <w:t>新型</w:t>
      </w:r>
      <w:r>
        <w:rPr>
          <w:rFonts w:ascii="Times New Roman" w:hAnsi="Times New Roman" w:eastAsia="仿宋_GB2312"/>
          <w:sz w:val="32"/>
          <w:szCs w:val="32"/>
        </w:rPr>
        <w:t>涂料、板材等设计研发，推动装饰材料产业绿色化、品牌化、数字化发展。重点发展硅藻泥材料、环保喷涂涂料、生态板材等绿色生态环保装饰材料，</w:t>
      </w:r>
      <w:r>
        <w:rPr>
          <w:rFonts w:hint="eastAsia" w:ascii="Times New Roman" w:hAnsi="Times New Roman" w:eastAsia="仿宋_GB2312"/>
          <w:sz w:val="32"/>
          <w:szCs w:val="32"/>
        </w:rPr>
        <w:t>加快布局</w:t>
      </w:r>
      <w:r>
        <w:rPr>
          <w:rFonts w:ascii="Times New Roman" w:hAnsi="Times New Roman" w:eastAsia="仿宋_GB2312"/>
          <w:sz w:val="32"/>
          <w:szCs w:val="32"/>
        </w:rPr>
        <w:t>生态家居研发与装饰设计、装修环保检测与污染控制、装饰工艺培训，装饰辅料产品集散等配套产业，做强做长做优“绿色装饰”产业链。到2025年，绿色装饰产品规模达</w:t>
      </w:r>
      <w:r>
        <w:rPr>
          <w:rFonts w:hint="eastAsia" w:ascii="Times New Roman" w:hAnsi="Times New Roman" w:eastAsia="仿宋_GB2312"/>
          <w:sz w:val="32"/>
          <w:szCs w:val="32"/>
          <w:lang w:val="en-US" w:eastAsia="zh-CN"/>
        </w:rPr>
        <w:t>50</w:t>
      </w:r>
      <w:r>
        <w:rPr>
          <w:rFonts w:ascii="Times New Roman" w:hAnsi="Times New Roman" w:eastAsia="仿宋_GB2312"/>
          <w:sz w:val="32"/>
          <w:szCs w:val="32"/>
        </w:rPr>
        <w:t>亿元，全面建成绿色装饰小镇。</w:t>
      </w:r>
    </w:p>
    <w:p w14:paraId="56BFAE3F">
      <w:pPr>
        <w:pStyle w:val="9"/>
      </w:pPr>
    </w:p>
    <w:p w14:paraId="6BBFE6DD">
      <w:pPr>
        <w:pStyle w:val="9"/>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4"/>
      </w:tblGrid>
      <w:tr w14:paraId="0BE81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8414" w:type="dxa"/>
          </w:tcPr>
          <w:p w14:paraId="2075F654">
            <w:pPr>
              <w:tabs>
                <w:tab w:val="left" w:pos="540"/>
              </w:tabs>
              <w:snapToGrid w:val="0"/>
              <w:spacing w:line="360" w:lineRule="auto"/>
              <w:jc w:val="center"/>
              <w:rPr>
                <w:rFonts w:ascii="楷体" w:hAnsi="楷体" w:eastAsia="楷体" w:cs="仿宋_GB2312"/>
                <w:b/>
                <w:color w:val="000000" w:themeColor="text1"/>
                <w:sz w:val="30"/>
                <w:szCs w:val="30"/>
                <w:lang w:val="zh-CN"/>
              </w:rPr>
            </w:pPr>
            <w:r>
              <w:rPr>
                <w:rFonts w:hint="eastAsia" w:ascii="楷体" w:hAnsi="楷体" w:eastAsia="楷体" w:cs="仿宋_GB2312"/>
                <w:b/>
                <w:color w:val="000000" w:themeColor="text1"/>
                <w:sz w:val="30"/>
                <w:szCs w:val="30"/>
                <w:lang w:val="zh-CN"/>
              </w:rPr>
              <w:t>专栏4：传统优势产业转型升级重点项目</w:t>
            </w:r>
          </w:p>
          <w:p w14:paraId="39F0D27A">
            <w:pPr>
              <w:spacing w:line="400" w:lineRule="exact"/>
              <w:ind w:firstLine="562" w:firstLineChars="200"/>
              <w:rPr>
                <w:rFonts w:ascii="仿宋_GB2312" w:hAnsi="Times New Roman" w:eastAsia="仿宋_GB2312"/>
                <w:bCs/>
                <w:color w:val="000000" w:themeColor="text1"/>
                <w:sz w:val="28"/>
                <w:szCs w:val="28"/>
              </w:rPr>
            </w:pPr>
            <w:r>
              <w:rPr>
                <w:rFonts w:hint="eastAsia" w:ascii="仿宋_GB2312" w:hAnsi="Times New Roman" w:eastAsia="仿宋_GB2312"/>
                <w:b/>
                <w:color w:val="000000" w:themeColor="text1"/>
                <w:sz w:val="28"/>
                <w:szCs w:val="28"/>
              </w:rPr>
              <w:t>生态家纺产业。</w:t>
            </w:r>
            <w:r>
              <w:rPr>
                <w:rFonts w:hint="eastAsia" w:ascii="仿宋_GB2312" w:hAnsi="Times New Roman" w:eastAsia="仿宋_GB2312"/>
                <w:bCs/>
                <w:color w:val="000000" w:themeColor="text1"/>
                <w:sz w:val="28"/>
                <w:szCs w:val="28"/>
                <w:lang w:val="en-US" w:eastAsia="zh-CN"/>
              </w:rPr>
              <w:t>推动建设</w:t>
            </w:r>
            <w:r>
              <w:rPr>
                <w:rFonts w:hint="eastAsia" w:ascii="仿宋_GB2312" w:hAnsi="Times New Roman" w:eastAsia="仿宋_GB2312"/>
                <w:bCs/>
                <w:color w:val="000000" w:themeColor="text1"/>
                <w:sz w:val="28"/>
                <w:szCs w:val="28"/>
              </w:rPr>
              <w:t>年产40000件高档丝绸被生产线、</w:t>
            </w:r>
            <w:r>
              <w:rPr>
                <w:rFonts w:hint="eastAsia" w:ascii="仿宋_GB2312" w:hAnsi="Times New Roman" w:eastAsia="仿宋_GB2312"/>
                <w:color w:val="000000" w:themeColor="text1"/>
                <w:sz w:val="28"/>
                <w:szCs w:val="28"/>
              </w:rPr>
              <w:t>年产70万套羽绒绗缝制品、</w:t>
            </w:r>
            <w:r>
              <w:rPr>
                <w:rFonts w:hint="eastAsia" w:ascii="仿宋_GB2312" w:hAnsi="Times New Roman" w:eastAsia="仿宋_GB2312"/>
                <w:bCs/>
                <w:color w:val="000000" w:themeColor="text1"/>
                <w:sz w:val="28"/>
                <w:szCs w:val="28"/>
              </w:rPr>
              <w:t>年产3000吨羽绒生产线、年产2000吨12万米无纺制品生产线、桐城水禽羽绒产业园、年产30万件（套）羽绒制品生产线</w:t>
            </w:r>
            <w:r>
              <w:rPr>
                <w:rFonts w:hint="eastAsia" w:ascii="仿宋_GB2312" w:hAnsi="Times New Roman" w:eastAsia="仿宋_GB2312"/>
                <w:bCs/>
                <w:color w:val="000000" w:themeColor="text1"/>
                <w:sz w:val="28"/>
                <w:szCs w:val="28"/>
                <w:lang w:val="en-US" w:eastAsia="zh-CN"/>
              </w:rPr>
              <w:t>等</w:t>
            </w:r>
            <w:r>
              <w:rPr>
                <w:rFonts w:hint="eastAsia" w:ascii="仿宋_GB2312" w:hAnsi="Times New Roman" w:eastAsia="仿宋_GB2312"/>
                <w:bCs/>
                <w:color w:val="000000" w:themeColor="text1"/>
                <w:sz w:val="28"/>
                <w:szCs w:val="28"/>
              </w:rPr>
              <w:t>。</w:t>
            </w:r>
          </w:p>
          <w:p w14:paraId="658686DF">
            <w:pPr>
              <w:spacing w:line="400" w:lineRule="exact"/>
              <w:ind w:firstLine="562" w:firstLineChars="200"/>
              <w:rPr>
                <w:rFonts w:ascii="仿宋_GB2312" w:hAnsi="Times New Roman" w:eastAsia="仿宋_GB2312"/>
                <w:bCs/>
                <w:color w:val="000000" w:themeColor="text1"/>
                <w:sz w:val="28"/>
                <w:szCs w:val="28"/>
              </w:rPr>
            </w:pPr>
            <w:r>
              <w:rPr>
                <w:rFonts w:hint="eastAsia" w:ascii="仿宋_GB2312" w:hAnsi="Times New Roman" w:eastAsia="仿宋_GB2312"/>
                <w:b/>
                <w:color w:val="000000" w:themeColor="text1"/>
                <w:sz w:val="28"/>
                <w:szCs w:val="28"/>
              </w:rPr>
              <w:t>安全健康防护产业。</w:t>
            </w:r>
            <w:r>
              <w:rPr>
                <w:rFonts w:hint="eastAsia" w:ascii="仿宋_GB2312" w:hAnsi="Times New Roman" w:eastAsia="仿宋_GB2312"/>
                <w:bCs/>
                <w:color w:val="000000" w:themeColor="text1"/>
                <w:sz w:val="28"/>
                <w:szCs w:val="28"/>
                <w:lang w:val="en-US" w:eastAsia="zh-CN"/>
              </w:rPr>
              <w:t>推动建设青草</w:t>
            </w:r>
            <w:r>
              <w:rPr>
                <w:rFonts w:hint="eastAsia" w:ascii="仿宋_GB2312" w:hAnsi="Times New Roman" w:eastAsia="仿宋_GB2312"/>
                <w:color w:val="000000" w:themeColor="text1"/>
                <w:sz w:val="28"/>
                <w:szCs w:val="28"/>
              </w:rPr>
              <w:t>安全健康防护用品产业园、</w:t>
            </w:r>
            <w:r>
              <w:rPr>
                <w:rFonts w:hint="eastAsia" w:ascii="仿宋_GB2312" w:hAnsi="Times New Roman" w:eastAsia="仿宋_GB2312"/>
                <w:bCs/>
                <w:color w:val="000000" w:themeColor="text1"/>
                <w:sz w:val="28"/>
                <w:szCs w:val="28"/>
              </w:rPr>
              <w:t>年产6000吨无纺布生产线、年产8000吨卫生新材料无纺布生产线、年产5000万只一次性平面防护口罩（民用普通型）技改、年产4000万只一次性防护口罩技改、年产800万只无纺布包装袋生产线、年产300万盒口腔清洁用品智能生产线、年产8000吨卫生新材料无纺布生产线</w:t>
            </w:r>
            <w:r>
              <w:rPr>
                <w:rFonts w:hint="eastAsia" w:ascii="仿宋_GB2312" w:hAnsi="Times New Roman" w:eastAsia="仿宋_GB2312"/>
                <w:bCs/>
                <w:color w:val="000000" w:themeColor="text1"/>
                <w:sz w:val="28"/>
                <w:szCs w:val="28"/>
                <w:lang w:eastAsia="zh-CN"/>
              </w:rPr>
              <w:t>、</w:t>
            </w:r>
            <w:r>
              <w:rPr>
                <w:rFonts w:hint="eastAsia" w:ascii="仿宋_GB2312" w:hAnsi="Times New Roman" w:eastAsia="仿宋_GB2312"/>
                <w:bCs/>
                <w:color w:val="000000" w:themeColor="text1"/>
                <w:sz w:val="28"/>
                <w:szCs w:val="28"/>
              </w:rPr>
              <w:t>年产2000吨12万米无纺制品生产线</w:t>
            </w:r>
            <w:r>
              <w:rPr>
                <w:rFonts w:hint="eastAsia" w:ascii="仿宋_GB2312" w:hAnsi="Times New Roman" w:eastAsia="仿宋_GB2312"/>
                <w:bCs/>
                <w:color w:val="000000" w:themeColor="text1"/>
                <w:sz w:val="28"/>
                <w:szCs w:val="28"/>
                <w:lang w:val="en-US" w:eastAsia="zh-CN"/>
              </w:rPr>
              <w:t>等</w:t>
            </w:r>
            <w:r>
              <w:rPr>
                <w:rFonts w:hint="eastAsia" w:ascii="仿宋_GB2312" w:hAnsi="Times New Roman" w:eastAsia="仿宋_GB2312"/>
                <w:bCs/>
                <w:color w:val="000000" w:themeColor="text1"/>
                <w:sz w:val="28"/>
                <w:szCs w:val="28"/>
              </w:rPr>
              <w:t>。</w:t>
            </w:r>
          </w:p>
          <w:p w14:paraId="151AB133">
            <w:pPr>
              <w:spacing w:line="400" w:lineRule="exact"/>
              <w:ind w:firstLine="562" w:firstLineChars="200"/>
              <w:rPr>
                <w:rFonts w:ascii="仿宋_GB2312" w:hAnsi="Times New Roman" w:eastAsia="仿宋_GB2312"/>
                <w:bCs/>
                <w:color w:val="000000" w:themeColor="text1"/>
                <w:sz w:val="28"/>
                <w:szCs w:val="28"/>
              </w:rPr>
            </w:pPr>
            <w:r>
              <w:rPr>
                <w:rFonts w:hint="eastAsia" w:ascii="仿宋_GB2312" w:hAnsi="Times New Roman" w:eastAsia="仿宋_GB2312"/>
                <w:b/>
                <w:color w:val="000000" w:themeColor="text1"/>
                <w:sz w:val="28"/>
                <w:szCs w:val="28"/>
              </w:rPr>
              <w:t>绿色装饰产业。</w:t>
            </w:r>
            <w:r>
              <w:rPr>
                <w:rFonts w:hint="eastAsia" w:ascii="仿宋_GB2312" w:hAnsi="Times New Roman" w:eastAsia="仿宋_GB2312"/>
                <w:bCs/>
                <w:color w:val="000000" w:themeColor="text1"/>
                <w:sz w:val="28"/>
                <w:szCs w:val="28"/>
                <w:lang w:val="en-US" w:eastAsia="zh-CN"/>
              </w:rPr>
              <w:t>推动建设</w:t>
            </w:r>
            <w:r>
              <w:rPr>
                <w:rFonts w:hint="eastAsia" w:ascii="仿宋_GB2312" w:hAnsi="Times New Roman" w:eastAsia="仿宋_GB2312"/>
                <w:bCs/>
                <w:color w:val="000000" w:themeColor="text1"/>
                <w:sz w:val="28"/>
                <w:szCs w:val="28"/>
              </w:rPr>
              <w:t>桐城范岗</w:t>
            </w:r>
            <w:r>
              <w:rPr>
                <w:rFonts w:hint="eastAsia" w:ascii="仿宋_GB2312" w:hAnsi="Times New Roman" w:eastAsia="仿宋_GB2312"/>
                <w:bCs/>
                <w:color w:val="000000" w:themeColor="text1"/>
                <w:sz w:val="28"/>
                <w:szCs w:val="28"/>
                <w:lang w:val="en-US" w:eastAsia="zh-CN"/>
              </w:rPr>
              <w:t>绿色装饰特色</w:t>
            </w:r>
            <w:r>
              <w:rPr>
                <w:rFonts w:hint="eastAsia" w:ascii="仿宋_GB2312" w:hAnsi="Times New Roman" w:eastAsia="仿宋_GB2312"/>
                <w:bCs/>
                <w:color w:val="000000" w:themeColor="text1"/>
                <w:sz w:val="28"/>
                <w:szCs w:val="28"/>
              </w:rPr>
              <w:t>小镇、年产50万米轻质新型环保隔墙板、年产5000吨环保型装饰新材料、年产50万块环保木地板生产线、年产120万吨新型节能材料生产线、智能家居和智能装备产业园、年产1000吨环保型装饰材料</w:t>
            </w:r>
            <w:r>
              <w:rPr>
                <w:rFonts w:hint="eastAsia" w:ascii="仿宋_GB2312" w:hAnsi="Times New Roman" w:eastAsia="仿宋_GB2312"/>
                <w:bCs/>
                <w:color w:val="000000" w:themeColor="text1"/>
                <w:sz w:val="28"/>
                <w:szCs w:val="28"/>
                <w:lang w:val="en-US" w:eastAsia="zh-CN"/>
              </w:rPr>
              <w:t>等</w:t>
            </w:r>
            <w:r>
              <w:rPr>
                <w:rFonts w:hint="eastAsia" w:ascii="仿宋_GB2312" w:hAnsi="Times New Roman" w:eastAsia="仿宋_GB2312"/>
                <w:bCs/>
                <w:color w:val="000000" w:themeColor="text1"/>
                <w:sz w:val="28"/>
                <w:szCs w:val="28"/>
              </w:rPr>
              <w:t>。</w:t>
            </w:r>
          </w:p>
          <w:p w14:paraId="61E2AFC3">
            <w:pPr>
              <w:spacing w:line="400" w:lineRule="exact"/>
              <w:ind w:firstLine="562" w:firstLineChars="200"/>
            </w:pPr>
            <w:r>
              <w:rPr>
                <w:rFonts w:hint="eastAsia" w:ascii="仿宋_GB2312" w:hAnsi="Times New Roman" w:eastAsia="仿宋_GB2312"/>
                <w:b/>
                <w:color w:val="000000" w:themeColor="text1"/>
                <w:sz w:val="28"/>
                <w:szCs w:val="28"/>
              </w:rPr>
              <w:t>其他传统产业。</w:t>
            </w:r>
            <w:r>
              <w:rPr>
                <w:rFonts w:hint="eastAsia" w:ascii="仿宋_GB2312" w:hAnsi="Times New Roman" w:eastAsia="仿宋_GB2312"/>
                <w:bCs/>
                <w:color w:val="000000" w:themeColor="text1"/>
                <w:sz w:val="28"/>
                <w:szCs w:val="28"/>
                <w:lang w:val="en-US" w:eastAsia="zh-CN"/>
              </w:rPr>
              <w:t>推动建设桐</w:t>
            </w:r>
            <w:r>
              <w:rPr>
                <w:rFonts w:hint="eastAsia" w:ascii="仿宋_GB2312" w:hAnsi="Times New Roman" w:eastAsia="仿宋_GB2312"/>
                <w:color w:val="000000" w:themeColor="text1"/>
                <w:sz w:val="28"/>
                <w:szCs w:val="28"/>
              </w:rPr>
              <w:t>城老酒二期酿酒基地、年产10万套救生筏、年产60万吨干混砂浆生产线、年产9万吨建筑石料生产线、年产30万立方米商品混凝土、年产8000吨多功能酵母系列及混合型饲料添加剂</w:t>
            </w:r>
            <w:r>
              <w:rPr>
                <w:rFonts w:hint="eastAsia" w:ascii="仿宋_GB2312" w:hAnsi="Times New Roman" w:eastAsia="仿宋_GB2312"/>
                <w:color w:val="000000" w:themeColor="text1"/>
                <w:sz w:val="28"/>
                <w:szCs w:val="28"/>
                <w:lang w:eastAsia="zh-CN"/>
              </w:rPr>
              <w:t>、年产30万吨装备式钢结构建筑新材料生产线</w:t>
            </w:r>
            <w:r>
              <w:rPr>
                <w:rFonts w:hint="eastAsia" w:ascii="仿宋_GB2312" w:hAnsi="Times New Roman" w:eastAsia="仿宋_GB2312"/>
                <w:color w:val="000000" w:themeColor="text1"/>
                <w:sz w:val="28"/>
                <w:szCs w:val="28"/>
                <w:lang w:val="en-US" w:eastAsia="zh-CN"/>
              </w:rPr>
              <w:t>等</w:t>
            </w:r>
            <w:r>
              <w:rPr>
                <w:rFonts w:hint="eastAsia" w:ascii="仿宋_GB2312" w:hAnsi="Times New Roman" w:eastAsia="仿宋_GB2312"/>
                <w:color w:val="000000" w:themeColor="text1"/>
                <w:sz w:val="28"/>
                <w:szCs w:val="28"/>
              </w:rPr>
              <w:t>。</w:t>
            </w:r>
          </w:p>
        </w:tc>
      </w:tr>
    </w:tbl>
    <w:p w14:paraId="78C67B2A">
      <w:pPr>
        <w:spacing w:before="100" w:beforeAutospacing="1" w:after="100" w:afterAutospacing="1"/>
        <w:jc w:val="center"/>
        <w:outlineLvl w:val="1"/>
        <w:rPr>
          <w:rFonts w:ascii="Times New Roman" w:hAnsi="Times New Roman" w:eastAsia="黑体"/>
          <w:sz w:val="32"/>
          <w:szCs w:val="32"/>
        </w:rPr>
      </w:pPr>
      <w:bookmarkStart w:id="25" w:name="_Toc15765"/>
      <w:r>
        <w:rPr>
          <w:rFonts w:ascii="Times New Roman" w:hAnsi="Times New Roman" w:eastAsia="黑体"/>
          <w:sz w:val="32"/>
          <w:szCs w:val="32"/>
        </w:rPr>
        <w:t>第</w:t>
      </w:r>
      <w:r>
        <w:rPr>
          <w:rFonts w:hint="eastAsia" w:ascii="Times New Roman" w:hAnsi="Times New Roman" w:eastAsia="黑体"/>
          <w:sz w:val="32"/>
          <w:szCs w:val="32"/>
        </w:rPr>
        <w:t>四</w:t>
      </w:r>
      <w:r>
        <w:rPr>
          <w:rFonts w:ascii="Times New Roman" w:hAnsi="Times New Roman" w:eastAsia="黑体"/>
          <w:sz w:val="32"/>
          <w:szCs w:val="32"/>
        </w:rPr>
        <w:t>节</w:t>
      </w:r>
      <w:r>
        <w:rPr>
          <w:rFonts w:hint="eastAsia" w:ascii="Times New Roman" w:hAnsi="Times New Roman" w:eastAsia="黑体"/>
          <w:sz w:val="32"/>
          <w:szCs w:val="32"/>
          <w:lang w:val="en-US" w:eastAsia="zh-CN"/>
        </w:rPr>
        <w:t xml:space="preserve"> </w:t>
      </w:r>
      <w:r>
        <w:rPr>
          <w:rFonts w:ascii="Times New Roman" w:hAnsi="Times New Roman" w:eastAsia="黑体"/>
          <w:sz w:val="32"/>
          <w:szCs w:val="32"/>
        </w:rPr>
        <w:t>培优做强先进制造业集群</w:t>
      </w:r>
      <w:bookmarkEnd w:id="24"/>
      <w:bookmarkEnd w:id="25"/>
    </w:p>
    <w:p w14:paraId="715FB5EC">
      <w:pPr>
        <w:ind w:firstLine="643" w:firstLineChars="200"/>
      </w:pPr>
      <w:r>
        <w:rPr>
          <w:rFonts w:ascii="Times New Roman" w:hAnsi="Times New Roman" w:eastAsia="仿宋_GB2312"/>
          <w:b/>
          <w:sz w:val="32"/>
          <w:szCs w:val="32"/>
        </w:rPr>
        <w:t>培育牵动性龙头企业。</w:t>
      </w:r>
      <w:r>
        <w:rPr>
          <w:rFonts w:ascii="Times New Roman" w:hAnsi="Times New Roman" w:eastAsia="仿宋_GB2312"/>
          <w:sz w:val="32"/>
          <w:szCs w:val="32"/>
        </w:rPr>
        <w:t>实施</w:t>
      </w:r>
      <w:r>
        <w:rPr>
          <w:rFonts w:hint="eastAsia" w:ascii="Times New Roman" w:hAnsi="Times New Roman" w:eastAsia="仿宋_GB2312"/>
          <w:sz w:val="32"/>
          <w:szCs w:val="32"/>
        </w:rPr>
        <w:t>企业领航</w:t>
      </w:r>
      <w:r>
        <w:rPr>
          <w:rFonts w:ascii="Times New Roman" w:hAnsi="Times New Roman" w:eastAsia="仿宋_GB2312"/>
          <w:sz w:val="32"/>
          <w:szCs w:val="32"/>
        </w:rPr>
        <w:t>工程，</w:t>
      </w:r>
      <w:r>
        <w:rPr>
          <w:rFonts w:hint="eastAsia" w:ascii="Times New Roman" w:hAnsi="Times New Roman" w:eastAsia="仿宋_GB2312"/>
          <w:sz w:val="32"/>
          <w:szCs w:val="32"/>
        </w:rPr>
        <w:t>突出扶大扶强、招大引强，形成百亿级企业领航、五十亿级企业带动、十亿级企业支撑的梯次培育、结构合理的大企业大集团群体。实施上市提速工程，着力储备一批、培育一批、股改一批、辅导一批、挂牌一批、上市一批，加快推进金田、汇通、顺驰电缆、香杨新能源等公司挂牌上市，5年内培育5家以上上市企业，5家新三板精选层企业</w:t>
      </w:r>
      <w:r>
        <w:rPr>
          <w:rFonts w:ascii="Times New Roman" w:hAnsi="Times New Roman" w:eastAsia="仿宋_GB2312"/>
          <w:sz w:val="32"/>
          <w:szCs w:val="32"/>
        </w:rPr>
        <w:t>，培育40个在行业有较大影响力的</w:t>
      </w:r>
      <w:r>
        <w:rPr>
          <w:rFonts w:hint="eastAsia" w:ascii="Times New Roman" w:hAnsi="Times New Roman" w:eastAsia="仿宋_GB2312"/>
          <w:sz w:val="32"/>
          <w:szCs w:val="32"/>
        </w:rPr>
        <w:t>“专精特新”“小巨人”</w:t>
      </w:r>
      <w:r>
        <w:rPr>
          <w:rFonts w:ascii="Times New Roman" w:hAnsi="Times New Roman" w:eastAsia="仿宋_GB2312"/>
          <w:sz w:val="32"/>
          <w:szCs w:val="32"/>
        </w:rPr>
        <w:t>“单</w:t>
      </w:r>
      <w:r>
        <w:rPr>
          <w:rFonts w:hint="eastAsia" w:ascii="Times New Roman" w:hAnsi="Times New Roman" w:eastAsia="仿宋_GB2312"/>
          <w:sz w:val="32"/>
          <w:szCs w:val="32"/>
        </w:rPr>
        <w:t>项</w:t>
      </w:r>
      <w:r>
        <w:rPr>
          <w:rFonts w:ascii="Times New Roman" w:hAnsi="Times New Roman" w:eastAsia="仿宋_GB2312"/>
          <w:sz w:val="32"/>
          <w:szCs w:val="32"/>
        </w:rPr>
        <w:t>冠军”</w:t>
      </w:r>
      <w:r>
        <w:rPr>
          <w:rFonts w:hint="eastAsia" w:ascii="Times New Roman" w:hAnsi="Times New Roman" w:eastAsia="仿宋_GB2312"/>
          <w:sz w:val="32"/>
          <w:szCs w:val="32"/>
        </w:rPr>
        <w:t>“瞪羚”企业。</w:t>
      </w:r>
    </w:p>
    <w:p w14:paraId="0D01B6E4">
      <w:pPr>
        <w:ind w:firstLine="643" w:firstLineChars="200"/>
        <w:rPr>
          <w:rFonts w:ascii="Times New Roman" w:hAnsi="Times New Roman" w:eastAsia="仿宋_GB2312"/>
          <w:sz w:val="32"/>
          <w:szCs w:val="32"/>
        </w:rPr>
      </w:pPr>
      <w:r>
        <w:rPr>
          <w:rFonts w:ascii="Times New Roman" w:hAnsi="Times New Roman" w:eastAsia="仿宋_GB2312"/>
          <w:b/>
          <w:sz w:val="32"/>
          <w:szCs w:val="32"/>
        </w:rPr>
        <w:t>做强重点产业链产业集群。</w:t>
      </w:r>
      <w:r>
        <w:rPr>
          <w:rFonts w:hint="eastAsia" w:ascii="Times New Roman" w:hAnsi="Times New Roman" w:eastAsia="仿宋_GB2312"/>
          <w:sz w:val="32"/>
          <w:szCs w:val="32"/>
        </w:rPr>
        <w:t>实施产业集聚工程，推深做实</w:t>
      </w:r>
      <w:r>
        <w:rPr>
          <w:rFonts w:ascii="Times New Roman" w:hAnsi="Times New Roman" w:eastAsia="仿宋_GB2312"/>
          <w:sz w:val="32"/>
          <w:szCs w:val="32"/>
        </w:rPr>
        <w:t>产业“链长制”，打好产业基础高级化和产业链现代化攻坚战</w:t>
      </w:r>
      <w:r>
        <w:rPr>
          <w:rFonts w:hint="eastAsia" w:ascii="Times New Roman" w:hAnsi="Times New Roman" w:eastAsia="仿宋_GB2312"/>
          <w:sz w:val="32"/>
          <w:szCs w:val="32"/>
        </w:rPr>
        <w:t>。</w:t>
      </w:r>
      <w:r>
        <w:rPr>
          <w:rFonts w:ascii="Times New Roman" w:hAnsi="Times New Roman" w:eastAsia="仿宋_GB2312"/>
          <w:sz w:val="32"/>
          <w:szCs w:val="32"/>
        </w:rPr>
        <w:t>集中力量重点打造绿色包装、</w:t>
      </w:r>
      <w:r>
        <w:rPr>
          <w:rFonts w:hint="eastAsia" w:ascii="Times New Roman" w:hAnsi="Times New Roman" w:eastAsia="仿宋_GB2312"/>
          <w:sz w:val="32"/>
          <w:szCs w:val="32"/>
        </w:rPr>
        <w:t>机电装备、节能环保、新能源</w:t>
      </w:r>
      <w:r>
        <w:rPr>
          <w:rFonts w:ascii="Times New Roman" w:hAnsi="Times New Roman" w:eastAsia="仿宋_GB2312"/>
          <w:sz w:val="32"/>
          <w:szCs w:val="32"/>
        </w:rPr>
        <w:t>新材料、医工医药健康、生态家纺、</w:t>
      </w:r>
      <w:r>
        <w:rPr>
          <w:rFonts w:hint="eastAsia" w:ascii="Times New Roman" w:hAnsi="Times New Roman" w:eastAsia="仿宋_GB2312"/>
          <w:sz w:val="32"/>
          <w:szCs w:val="32"/>
        </w:rPr>
        <w:t>安全</w:t>
      </w:r>
      <w:r>
        <w:rPr>
          <w:rFonts w:ascii="Times New Roman" w:hAnsi="Times New Roman" w:eastAsia="仿宋_GB2312"/>
          <w:sz w:val="32"/>
          <w:szCs w:val="32"/>
        </w:rPr>
        <w:t>健康防护、绿色装饰等</w:t>
      </w:r>
      <w:r>
        <w:rPr>
          <w:rFonts w:hint="eastAsia" w:ascii="Times New Roman" w:hAnsi="Times New Roman" w:eastAsia="仿宋_GB2312"/>
          <w:sz w:val="32"/>
          <w:szCs w:val="32"/>
        </w:rPr>
        <w:t>8</w:t>
      </w:r>
      <w:r>
        <w:rPr>
          <w:rFonts w:ascii="Times New Roman" w:hAnsi="Times New Roman" w:eastAsia="仿宋_GB2312"/>
          <w:sz w:val="32"/>
          <w:szCs w:val="32"/>
        </w:rPr>
        <w:t>条优势产业链</w:t>
      </w:r>
      <w:r>
        <w:rPr>
          <w:rFonts w:hint="eastAsia" w:ascii="Times New Roman" w:hAnsi="Times New Roman" w:eastAsia="仿宋_GB2312"/>
          <w:sz w:val="32"/>
          <w:szCs w:val="32"/>
        </w:rPr>
        <w:t>，积极</w:t>
      </w:r>
      <w:r>
        <w:rPr>
          <w:rFonts w:ascii="Times New Roman" w:hAnsi="Times New Roman" w:eastAsia="仿宋_GB2312"/>
          <w:sz w:val="32"/>
          <w:szCs w:val="32"/>
        </w:rPr>
        <w:t>建链、补链、延链、融链、强链。到2025年培育一批百亿级产业链条和产业集群</w:t>
      </w:r>
      <w:r>
        <w:rPr>
          <w:rFonts w:hint="eastAsia" w:ascii="Times New Roman" w:hAnsi="Times New Roman" w:eastAsia="仿宋_GB2312"/>
          <w:sz w:val="32"/>
          <w:szCs w:val="32"/>
        </w:rPr>
        <w:t>，</w:t>
      </w:r>
      <w:r>
        <w:rPr>
          <w:rFonts w:ascii="Times New Roman" w:hAnsi="Times New Roman" w:eastAsia="仿宋_GB2312"/>
          <w:sz w:val="32"/>
          <w:szCs w:val="32"/>
        </w:rPr>
        <w:t>10个“群主”企业“链长”企业，标志性载体5个以上，力争再新增1-2项省“三重一创”工程或专项。</w:t>
      </w:r>
    </w:p>
    <w:p w14:paraId="5589C0E7">
      <w:pPr>
        <w:ind w:firstLine="643" w:firstLineChars="200"/>
        <w:rPr>
          <w:rFonts w:hint="eastAsia" w:ascii="Times New Roman" w:hAnsi="Times New Roman" w:eastAsia="仿宋_GB2312"/>
          <w:sz w:val="32"/>
          <w:szCs w:val="32"/>
        </w:rPr>
      </w:pPr>
      <w:r>
        <w:rPr>
          <w:rFonts w:hint="eastAsia" w:ascii="Times New Roman" w:hAnsi="Times New Roman" w:eastAsia="仿宋_GB2312"/>
          <w:b/>
          <w:sz w:val="32"/>
          <w:szCs w:val="32"/>
        </w:rPr>
        <w:t>筑牢工业发展平台。</w:t>
      </w:r>
      <w:r>
        <w:rPr>
          <w:rFonts w:hint="eastAsia" w:ascii="Times New Roman" w:hAnsi="Times New Roman" w:eastAsia="仿宋_GB2312"/>
          <w:sz w:val="32"/>
          <w:szCs w:val="32"/>
        </w:rPr>
        <w:t>强化国家级桐城经济技术开发区工业发展“主平台”“主引擎”作用，加快经开区扩区步伐，实施高密度高层次开发，实现产业发展高端化、空间布局紧凑化、土地利用集约化。巩固开发区优化整合成果，推深做实“一区多园跨区托管”试点，实现经开区主区与经开区双新片区错位发展。</w:t>
      </w:r>
      <w:r>
        <w:rPr>
          <w:rFonts w:ascii="Times New Roman" w:hAnsi="Times New Roman" w:eastAsia="仿宋_GB2312"/>
          <w:sz w:val="32"/>
          <w:szCs w:val="32"/>
        </w:rPr>
        <w:t>按照“龙头企业—大项目—产业链—产业集群—产业基地”的发展思路，打造一批产业配套完备、创新优势突出、区域特色明显、规模效益显著的专业化园区。</w:t>
      </w:r>
      <w:r>
        <w:rPr>
          <w:rFonts w:hint="eastAsia" w:ascii="Times New Roman" w:hAnsi="Times New Roman" w:eastAsia="仿宋_GB2312"/>
          <w:sz w:val="32"/>
          <w:szCs w:val="32"/>
        </w:rPr>
        <w:t>大力发展镇域经济，推动乡镇工业规范化、特色化、组团式发展，引导乡镇工业发展平台向县域特色产业集群（基地）、产业集群专业镇、特色小镇等转型升级，打造新渡等一批“明星镇”。积极对接沪苏浙、合肥等地园区，探索“飞地经济”发展模式。提升园区整体信息化智慧化水平，积极打造创新型智慧园区。到2025年，国家级桐城经济技术开发区工业产值力争突破</w:t>
      </w:r>
      <w:r>
        <w:rPr>
          <w:rFonts w:hint="eastAsia" w:ascii="Times New Roman" w:hAnsi="Times New Roman" w:eastAsia="仿宋_GB2312"/>
          <w:sz w:val="32"/>
          <w:szCs w:val="32"/>
          <w:lang w:val="en-US" w:eastAsia="zh-CN"/>
        </w:rPr>
        <w:t>800</w:t>
      </w:r>
      <w:r>
        <w:rPr>
          <w:rFonts w:hint="eastAsia" w:ascii="Times New Roman" w:hAnsi="Times New Roman" w:eastAsia="仿宋_GB2312"/>
          <w:sz w:val="32"/>
          <w:szCs w:val="32"/>
        </w:rPr>
        <w:t>亿元，其中经开区主区工业产值达700亿元，经开区双新片区产值达</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00亿元，跻身全省开发区“二十强”。</w:t>
      </w:r>
    </w:p>
    <w:p w14:paraId="2132E182">
      <w:pPr>
        <w:spacing w:before="100" w:beforeAutospacing="1" w:after="100" w:afterAutospacing="1"/>
        <w:jc w:val="center"/>
        <w:outlineLvl w:val="1"/>
        <w:rPr>
          <w:rFonts w:ascii="Times New Roman" w:hAnsi="Times New Roman" w:eastAsia="黑体"/>
          <w:sz w:val="32"/>
          <w:szCs w:val="32"/>
        </w:rPr>
      </w:pPr>
      <w:bookmarkStart w:id="26" w:name="_Toc23963"/>
      <w:r>
        <w:rPr>
          <w:rFonts w:hint="eastAsia" w:ascii="Times New Roman" w:hAnsi="Times New Roman" w:eastAsia="黑体"/>
          <w:sz w:val="32"/>
          <w:szCs w:val="32"/>
        </w:rPr>
        <w:t>第五节</w:t>
      </w:r>
      <w:r>
        <w:rPr>
          <w:rFonts w:hint="eastAsia" w:ascii="Times New Roman" w:hAnsi="Times New Roman" w:eastAsia="黑体"/>
          <w:sz w:val="32"/>
          <w:szCs w:val="32"/>
          <w:lang w:val="en-US" w:eastAsia="zh-CN"/>
        </w:rPr>
        <w:t xml:space="preserve"> </w:t>
      </w:r>
      <w:r>
        <w:rPr>
          <w:rFonts w:hint="eastAsia" w:ascii="Times New Roman" w:hAnsi="Times New Roman" w:eastAsia="黑体"/>
          <w:sz w:val="32"/>
          <w:szCs w:val="32"/>
        </w:rPr>
        <w:t>大力发展服务业</w:t>
      </w:r>
      <w:bookmarkEnd w:id="26"/>
    </w:p>
    <w:p w14:paraId="5D4DD1DF">
      <w:pPr>
        <w:pStyle w:val="9"/>
        <w:ind w:firstLine="643"/>
        <w:rPr>
          <w:rFonts w:hint="eastAsia" w:ascii="Times New Roman" w:hAnsi="Times New Roman" w:eastAsia="仿宋_GB2312"/>
          <w:sz w:val="32"/>
          <w:szCs w:val="32"/>
        </w:rPr>
      </w:pPr>
      <w:r>
        <w:rPr>
          <w:rFonts w:ascii="Times New Roman" w:hAnsi="Times New Roman" w:eastAsia="仿宋_GB2312"/>
          <w:b/>
          <w:bCs/>
          <w:sz w:val="32"/>
          <w:szCs w:val="32"/>
        </w:rPr>
        <w:t>推动文化旅游融合发展</w:t>
      </w:r>
      <w:r>
        <w:rPr>
          <w:rFonts w:hint="eastAsia" w:ascii="Times New Roman" w:hAnsi="Times New Roman" w:eastAsia="仿宋_GB2312"/>
          <w:b/>
          <w:bCs/>
          <w:sz w:val="32"/>
          <w:szCs w:val="32"/>
        </w:rPr>
        <w:t>。</w:t>
      </w:r>
      <w:r>
        <w:rPr>
          <w:rFonts w:ascii="Times New Roman" w:hAnsi="Times New Roman" w:eastAsia="仿宋_GB2312"/>
          <w:sz w:val="32"/>
          <w:szCs w:val="32"/>
        </w:rPr>
        <w:t>坚持以文塑旅、以旅彰文，推动</w:t>
      </w:r>
      <w:r>
        <w:rPr>
          <w:rFonts w:hint="eastAsia" w:ascii="Times New Roman" w:hAnsi="Times New Roman" w:eastAsia="仿宋_GB2312"/>
          <w:sz w:val="32"/>
          <w:szCs w:val="32"/>
          <w:lang w:val="en-US" w:eastAsia="zh-CN"/>
        </w:rPr>
        <w:t>实施</w:t>
      </w:r>
      <w:r>
        <w:rPr>
          <w:rFonts w:ascii="Times New Roman" w:hAnsi="Times New Roman" w:eastAsia="仿宋_GB2312"/>
          <w:sz w:val="32"/>
          <w:szCs w:val="32"/>
        </w:rPr>
        <w:t>文旅融合发展</w:t>
      </w:r>
      <w:r>
        <w:rPr>
          <w:rFonts w:hint="eastAsia" w:ascii="Times New Roman" w:hAnsi="Times New Roman" w:eastAsia="仿宋_GB2312"/>
          <w:sz w:val="32"/>
          <w:szCs w:val="32"/>
          <w:lang w:val="en-US" w:eastAsia="zh-CN"/>
        </w:rPr>
        <w:t>工程</w:t>
      </w:r>
      <w:r>
        <w:rPr>
          <w:rFonts w:ascii="Times New Roman" w:hAnsi="Times New Roman" w:eastAsia="仿宋_GB2312"/>
          <w:sz w:val="32"/>
          <w:szCs w:val="32"/>
        </w:rPr>
        <w:t>，打造</w:t>
      </w:r>
      <w:r>
        <w:rPr>
          <w:rFonts w:hint="eastAsia" w:ascii="Times New Roman" w:hAnsi="Times New Roman" w:eastAsia="仿宋_GB2312"/>
          <w:sz w:val="32"/>
          <w:szCs w:val="32"/>
        </w:rPr>
        <w:t>全国具有重要影响力</w:t>
      </w:r>
      <w:r>
        <w:rPr>
          <w:rFonts w:ascii="Times New Roman" w:hAnsi="Times New Roman" w:eastAsia="仿宋_GB2312"/>
          <w:sz w:val="32"/>
          <w:szCs w:val="32"/>
        </w:rPr>
        <w:t>的历史文化名城和山水旅游名城。</w:t>
      </w:r>
      <w:r>
        <w:rPr>
          <w:rFonts w:hint="eastAsia" w:ascii="Times New Roman" w:hAnsi="Times New Roman" w:eastAsia="仿宋_GB2312"/>
          <w:b/>
          <w:sz w:val="32"/>
          <w:szCs w:val="32"/>
        </w:rPr>
        <w:t>大力发展现代文化产业，</w:t>
      </w:r>
      <w:r>
        <w:rPr>
          <w:rFonts w:ascii="Times New Roman" w:hAnsi="Times New Roman" w:eastAsia="仿宋_GB2312"/>
          <w:sz w:val="32"/>
          <w:szCs w:val="32"/>
        </w:rPr>
        <w:t>深入挖掘廉政文化、礼让文化、戏</w:t>
      </w:r>
      <w:r>
        <w:rPr>
          <w:rFonts w:ascii="Times New Roman" w:hAnsi="Times New Roman" w:eastAsia="仿宋_GB2312"/>
          <w:bCs/>
          <w:sz w:val="32"/>
          <w:szCs w:val="32"/>
        </w:rPr>
        <w:t>曲文化、红色文化、三国文化等桐城文化，</w:t>
      </w:r>
      <w:r>
        <w:rPr>
          <w:rFonts w:hint="eastAsia" w:ascii="Times New Roman" w:hAnsi="Times New Roman" w:eastAsia="仿宋_GB2312"/>
          <w:bCs/>
          <w:sz w:val="32"/>
          <w:szCs w:val="32"/>
        </w:rPr>
        <w:t>打造一批“白天看景、晚上看戏”的文旅综合体。</w:t>
      </w:r>
      <w:r>
        <w:rPr>
          <w:rFonts w:ascii="Times New Roman" w:hAnsi="Times New Roman" w:eastAsia="仿宋_GB2312"/>
          <w:bCs/>
          <w:sz w:val="32"/>
          <w:szCs w:val="32"/>
        </w:rPr>
        <w:t>促进桐城元素在城市设计、文</w:t>
      </w:r>
      <w:r>
        <w:rPr>
          <w:rFonts w:ascii="Times New Roman" w:hAnsi="Times New Roman" w:eastAsia="仿宋_GB2312" w:cs="Times New Roman"/>
          <w:bCs/>
          <w:sz w:val="32"/>
          <w:szCs w:val="32"/>
        </w:rPr>
        <w:t>化创意中的创新性运用。发挥</w:t>
      </w:r>
      <w:r>
        <w:rPr>
          <w:rFonts w:hint="eastAsia" w:ascii="Times New Roman" w:hAnsi="Times New Roman" w:eastAsia="仿宋_GB2312" w:cs="Times New Roman"/>
          <w:bCs/>
          <w:sz w:val="32"/>
          <w:szCs w:val="32"/>
          <w:lang w:eastAsia="zh-CN"/>
        </w:rPr>
        <w:t>国家级文化产业示范基地佛光集团以及</w:t>
      </w:r>
      <w:r>
        <w:rPr>
          <w:rFonts w:ascii="Times New Roman" w:hAnsi="Times New Roman" w:eastAsia="仿宋_GB2312" w:cs="Times New Roman"/>
          <w:bCs/>
          <w:sz w:val="32"/>
          <w:szCs w:val="32"/>
        </w:rPr>
        <w:t>桐城玉雕产业园、兄弟同创会展产业园等载体聚集功能，积极发展玉雕、铸胎掐丝珐琅、铜质工艺、会展等文创产业。</w:t>
      </w:r>
      <w:r>
        <w:rPr>
          <w:rFonts w:ascii="Times New Roman" w:hAnsi="Times New Roman" w:eastAsia="仿宋_GB2312"/>
          <w:color w:val="000000" w:themeColor="text1"/>
          <w:sz w:val="32"/>
          <w:szCs w:val="32"/>
        </w:rPr>
        <w:t>加强桐城特色文化IP 产业建设，推动高价值文化IP的全产业链发展。</w:t>
      </w:r>
      <w:r>
        <w:rPr>
          <w:rFonts w:hint="eastAsia" w:ascii="Times New Roman" w:hAnsi="Times New Roman" w:eastAsia="仿宋_GB2312"/>
          <w:b/>
          <w:color w:val="000000" w:themeColor="text1"/>
          <w:sz w:val="32"/>
          <w:szCs w:val="32"/>
        </w:rPr>
        <w:t>推进全域旅游发展，</w:t>
      </w:r>
      <w:r>
        <w:rPr>
          <w:rFonts w:ascii="Times New Roman" w:hAnsi="Times New Roman" w:eastAsia="仿宋_GB2312"/>
          <w:bCs/>
          <w:sz w:val="32"/>
          <w:szCs w:val="32"/>
        </w:rPr>
        <w:t>打造“一城引领、一廊串联、四区组团、五大集聚”的文化旅游发展格局</w:t>
      </w:r>
      <w:r>
        <w:rPr>
          <w:rFonts w:hint="eastAsia" w:ascii="Times New Roman" w:hAnsi="Times New Roman" w:eastAsia="仿宋_GB2312"/>
          <w:bCs/>
          <w:sz w:val="32"/>
          <w:szCs w:val="32"/>
        </w:rPr>
        <w:t>，重点提升“三街一巷”、</w:t>
      </w:r>
      <w:r>
        <w:rPr>
          <w:rFonts w:ascii="Times New Roman" w:hAnsi="Times New Roman" w:eastAsia="仿宋_GB2312"/>
          <w:bCs/>
          <w:sz w:val="32"/>
          <w:szCs w:val="32"/>
        </w:rPr>
        <w:t>孔城老街、</w:t>
      </w:r>
      <w:r>
        <w:rPr>
          <w:rFonts w:hint="eastAsia" w:ascii="Times New Roman" w:hAnsi="Times New Roman" w:eastAsia="仿宋_GB2312"/>
          <w:bCs/>
          <w:sz w:val="32"/>
          <w:szCs w:val="32"/>
        </w:rPr>
        <w:t>龙眠山、</w:t>
      </w:r>
      <w:r>
        <w:rPr>
          <w:rFonts w:ascii="Times New Roman" w:hAnsi="Times New Roman" w:eastAsia="仿宋_GB2312"/>
          <w:bCs/>
          <w:sz w:val="32"/>
          <w:szCs w:val="32"/>
        </w:rPr>
        <w:t>嬉子湖等景区</w:t>
      </w:r>
      <w:r>
        <w:rPr>
          <w:rFonts w:hint="eastAsia" w:ascii="Times New Roman" w:hAnsi="Times New Roman" w:eastAsia="仿宋_GB2312"/>
          <w:bCs/>
          <w:sz w:val="32"/>
          <w:szCs w:val="32"/>
        </w:rPr>
        <w:t>的层次和品质，</w:t>
      </w:r>
      <w:r>
        <w:rPr>
          <w:rFonts w:ascii="Times New Roman" w:hAnsi="Times New Roman" w:eastAsia="仿宋_GB2312"/>
          <w:bCs/>
          <w:color w:val="000000" w:themeColor="text1"/>
          <w:sz w:val="32"/>
          <w:szCs w:val="32"/>
        </w:rPr>
        <w:t>精心打造一批以古城怀旧、生态观光、文化体验、教育</w:t>
      </w:r>
      <w:r>
        <w:rPr>
          <w:rFonts w:hint="eastAsia" w:ascii="Times New Roman" w:hAnsi="Times New Roman" w:eastAsia="仿宋_GB2312"/>
          <w:bCs/>
          <w:color w:val="000000" w:themeColor="text1"/>
          <w:sz w:val="32"/>
          <w:szCs w:val="32"/>
        </w:rPr>
        <w:t>研学</w:t>
      </w:r>
      <w:r>
        <w:rPr>
          <w:rFonts w:ascii="Times New Roman" w:hAnsi="Times New Roman" w:eastAsia="仿宋_GB2312"/>
          <w:bCs/>
          <w:color w:val="000000" w:themeColor="text1"/>
          <w:sz w:val="32"/>
          <w:szCs w:val="32"/>
        </w:rPr>
        <w:t>、</w:t>
      </w:r>
      <w:r>
        <w:rPr>
          <w:rFonts w:hint="eastAsia" w:ascii="Times New Roman" w:hAnsi="Times New Roman" w:eastAsia="仿宋_GB2312"/>
          <w:bCs/>
          <w:color w:val="000000" w:themeColor="text1"/>
          <w:sz w:val="32"/>
          <w:szCs w:val="32"/>
        </w:rPr>
        <w:t>体育健身</w:t>
      </w:r>
      <w:r>
        <w:rPr>
          <w:rFonts w:ascii="Times New Roman" w:hAnsi="Times New Roman" w:eastAsia="仿宋_GB2312"/>
          <w:bCs/>
          <w:color w:val="000000" w:themeColor="text1"/>
          <w:sz w:val="32"/>
          <w:szCs w:val="32"/>
        </w:rPr>
        <w:t>等为特色的旅游线路</w:t>
      </w:r>
      <w:r>
        <w:rPr>
          <w:rFonts w:hint="eastAsia" w:ascii="Times New Roman" w:hAnsi="Times New Roman" w:eastAsia="仿宋_GB2312"/>
          <w:bCs/>
          <w:color w:val="000000" w:themeColor="text1"/>
          <w:sz w:val="32"/>
          <w:szCs w:val="32"/>
        </w:rPr>
        <w:t>、旅游景区和</w:t>
      </w:r>
      <w:r>
        <w:rPr>
          <w:rFonts w:ascii="Times New Roman" w:hAnsi="Times New Roman" w:eastAsia="仿宋_GB2312"/>
          <w:bCs/>
          <w:color w:val="000000" w:themeColor="text1"/>
          <w:sz w:val="32"/>
          <w:szCs w:val="32"/>
        </w:rPr>
        <w:t>文旅融合项目</w:t>
      </w:r>
      <w:r>
        <w:rPr>
          <w:rFonts w:ascii="Times New Roman" w:hAnsi="Times New Roman" w:eastAsia="仿宋_GB2312"/>
          <w:bCs/>
          <w:sz w:val="32"/>
          <w:szCs w:val="32"/>
        </w:rPr>
        <w:t>。大力发展乡村旅游，</w:t>
      </w:r>
      <w:r>
        <w:rPr>
          <w:rFonts w:hint="eastAsia" w:ascii="Times New Roman" w:hAnsi="Times New Roman" w:eastAsia="仿宋_GB2312"/>
          <w:bCs/>
          <w:sz w:val="32"/>
          <w:szCs w:val="32"/>
        </w:rPr>
        <w:t>培育具有鲜明地域特色的节庆品牌，</w:t>
      </w:r>
      <w:r>
        <w:rPr>
          <w:rFonts w:ascii="Times New Roman" w:hAnsi="Times New Roman" w:eastAsia="仿宋_GB2312"/>
          <w:bCs/>
          <w:sz w:val="32"/>
          <w:szCs w:val="32"/>
        </w:rPr>
        <w:t>扩大桐城旅游品牌的知名度和影响力。</w:t>
      </w:r>
      <w:r>
        <w:rPr>
          <w:rFonts w:hint="eastAsia" w:ascii="Times New Roman" w:hAnsi="Times New Roman" w:eastAsia="仿宋_GB2312"/>
          <w:bCs/>
          <w:sz w:val="32"/>
          <w:szCs w:val="32"/>
        </w:rPr>
        <w:t>到2025年，力争国家5A级景区实现突破，再创建一批国家4A级旅游景区，</w:t>
      </w:r>
      <w:r>
        <w:rPr>
          <w:rFonts w:ascii="Times New Roman" w:hAnsi="Times New Roman" w:eastAsia="仿宋_GB2312"/>
          <w:sz w:val="32"/>
          <w:szCs w:val="32"/>
        </w:rPr>
        <w:t>文化旅游产业增加值占GDP比重提升至6%以上</w:t>
      </w:r>
      <w:r>
        <w:rPr>
          <w:rFonts w:hint="eastAsia" w:ascii="Times New Roman" w:hAnsi="Times New Roman" w:eastAsia="仿宋_GB2312"/>
          <w:sz w:val="32"/>
          <w:szCs w:val="32"/>
        </w:rPr>
        <w:t>，</w:t>
      </w:r>
      <w:r>
        <w:rPr>
          <w:rFonts w:hint="eastAsia" w:ascii="Times New Roman" w:hAnsi="Times New Roman" w:eastAsia="仿宋_GB2312"/>
          <w:bCs/>
          <w:sz w:val="32"/>
          <w:szCs w:val="32"/>
        </w:rPr>
        <w:t>争创全国重要的区域性特色文化旅游目的地</w:t>
      </w:r>
      <w:r>
        <w:rPr>
          <w:rFonts w:ascii="Times New Roman" w:hAnsi="Times New Roman" w:eastAsia="仿宋_GB2312"/>
          <w:sz w:val="32"/>
          <w:szCs w:val="32"/>
        </w:rPr>
        <w:t>。</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FE94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76FD1416">
            <w:pPr>
              <w:spacing w:line="360" w:lineRule="auto"/>
              <w:jc w:val="center"/>
              <w:rPr>
                <w:rFonts w:ascii="楷体" w:hAnsi="楷体" w:eastAsia="楷体"/>
                <w:b/>
                <w:sz w:val="30"/>
                <w:szCs w:val="30"/>
              </w:rPr>
            </w:pPr>
            <w:r>
              <w:rPr>
                <w:rFonts w:hint="eastAsia" w:ascii="楷体" w:hAnsi="楷体" w:eastAsia="楷体"/>
                <w:b/>
                <w:sz w:val="30"/>
                <w:szCs w:val="30"/>
              </w:rPr>
              <w:t>专栏5：文化旅游发展重点</w:t>
            </w:r>
          </w:p>
          <w:p w14:paraId="32B73CCA">
            <w:pPr>
              <w:spacing w:line="400" w:lineRule="exact"/>
              <w:ind w:firstLine="562" w:firstLineChars="200"/>
              <w:rPr>
                <w:rFonts w:ascii="仿宋_GB2312" w:eastAsia="仿宋_GB2312"/>
                <w:sz w:val="28"/>
                <w:szCs w:val="28"/>
              </w:rPr>
            </w:pPr>
            <w:r>
              <w:rPr>
                <w:rFonts w:hint="eastAsia" w:ascii="仿宋_GB2312" w:eastAsia="仿宋_GB2312"/>
                <w:b/>
                <w:sz w:val="28"/>
                <w:szCs w:val="28"/>
              </w:rPr>
              <w:t>空间发展格局。“</w:t>
            </w:r>
            <w:r>
              <w:rPr>
                <w:rFonts w:hint="eastAsia" w:ascii="仿宋_GB2312" w:eastAsia="仿宋_GB2312"/>
                <w:sz w:val="28"/>
                <w:szCs w:val="28"/>
              </w:rPr>
              <w:t>一城引领</w:t>
            </w:r>
            <w:r>
              <w:rPr>
                <w:rFonts w:hint="eastAsia" w:ascii="仿宋_GB2312" w:eastAsia="仿宋_GB2312"/>
                <w:b/>
                <w:sz w:val="28"/>
                <w:szCs w:val="28"/>
              </w:rPr>
              <w:t>”</w:t>
            </w:r>
            <w:r>
              <w:rPr>
                <w:rFonts w:hint="eastAsia" w:ascii="仿宋_GB2312" w:eastAsia="仿宋_GB2312"/>
                <w:sz w:val="28"/>
                <w:szCs w:val="28"/>
              </w:rPr>
              <w:t>：以桐城市区（文昌街道、龙眠街道、龙腾街道）+东部新城为核心；“一廊串联”: 以龙眠河为主轴，串联动山、文城、慢乡和静水，直达嬉子湖；“四区组团”：山地时尚运动组团（唐湾镇、黄甲镇、龙眠街道和青草镇北部）、水乡风情度假组团（嬉子湖、鲟鱼镇、金神镇）、田园生活休闲组团（范岗镇、新渡镇、双港镇、青草镇南部）、民俗文化创意组团（大关镇、吕亭镇、孔城镇）；“五大集聚”：北部乡村旅游集聚区（大关镇、吕亭镇）、南部乡村旅游集聚区（新渡镇、双港镇、范岗镇的杨安村和樟枫村）、三个民宿集聚区（孔城老街、唐湾苗尖寨-上排门和黄甲黄铺-向阳）。</w:t>
            </w:r>
          </w:p>
          <w:p w14:paraId="38866331">
            <w:pPr>
              <w:spacing w:line="400" w:lineRule="exact"/>
              <w:ind w:firstLine="562" w:firstLineChars="200"/>
              <w:rPr>
                <w:rFonts w:hint="eastAsia" w:ascii="仿宋_GB2312" w:eastAsia="仿宋_GB2312"/>
                <w:b/>
                <w:sz w:val="28"/>
                <w:szCs w:val="28"/>
                <w:lang w:val="en-US" w:eastAsia="zh-CN"/>
              </w:rPr>
            </w:pPr>
            <w:r>
              <w:rPr>
                <w:rFonts w:hint="eastAsia" w:ascii="仿宋_GB2312" w:eastAsia="仿宋_GB2312"/>
                <w:b/>
                <w:sz w:val="28"/>
                <w:szCs w:val="28"/>
              </w:rPr>
              <w:t>文化内涵提升工程。</w:t>
            </w:r>
            <w:r>
              <w:rPr>
                <w:rFonts w:hint="eastAsia" w:ascii="仿宋_GB2312" w:hAnsi="Times New Roman" w:eastAsia="仿宋_GB2312"/>
                <w:bCs/>
                <w:sz w:val="28"/>
                <w:szCs w:val="28"/>
              </w:rPr>
              <w:t>桐城古城墙恢复性建设、金神老街传统古村落整治提升、历史文化名城名镇名村修缮；桐城历史名人馆、</w:t>
            </w:r>
            <w:r>
              <w:rPr>
                <w:rFonts w:hint="eastAsia" w:ascii="仿宋_GB2312" w:eastAsia="仿宋_GB2312"/>
                <w:sz w:val="28"/>
                <w:szCs w:val="28"/>
              </w:rPr>
              <w:t>儒家思想研学基地</w:t>
            </w:r>
            <w:r>
              <w:rPr>
                <w:rFonts w:hint="eastAsia" w:ascii="仿宋_GB2312" w:hAnsi="Times New Roman" w:eastAsia="仿宋_GB2312"/>
                <w:bCs/>
                <w:sz w:val="28"/>
                <w:szCs w:val="28"/>
              </w:rPr>
              <w:t>、</w:t>
            </w:r>
            <w:r>
              <w:rPr>
                <w:rFonts w:hint="eastAsia" w:ascii="仿宋_GB2312" w:eastAsia="仿宋_GB2312"/>
                <w:sz w:val="28"/>
                <w:szCs w:val="28"/>
              </w:rPr>
              <w:t>李公麟龙眠山庄、</w:t>
            </w:r>
            <w:r>
              <w:rPr>
                <w:rFonts w:hint="eastAsia" w:ascii="仿宋_GB2312" w:hAnsi="Times New Roman" w:eastAsia="仿宋_GB2312"/>
                <w:bCs/>
                <w:sz w:val="28"/>
                <w:szCs w:val="28"/>
              </w:rPr>
              <w:t>孔城镇研学旅游基地、桐城市非遗传习基地暨民俗文化体验区、</w:t>
            </w:r>
            <w:r>
              <w:rPr>
                <w:rFonts w:hint="eastAsia" w:ascii="仿宋_GB2312" w:eastAsia="仿宋_GB2312"/>
                <w:sz w:val="28"/>
                <w:szCs w:val="28"/>
              </w:rPr>
              <w:t>孔城老街民俗文化产业园、</w:t>
            </w:r>
            <w:r>
              <w:rPr>
                <w:rFonts w:hint="eastAsia" w:ascii="仿宋_GB2312" w:hAnsi="Times New Roman" w:eastAsia="仿宋_GB2312"/>
                <w:bCs/>
                <w:sz w:val="28"/>
                <w:szCs w:val="28"/>
              </w:rPr>
              <w:t>桐城文学小镇</w:t>
            </w:r>
            <w:r>
              <w:rPr>
                <w:rFonts w:hint="eastAsia" w:ascii="仿宋_GB2312" w:eastAsia="仿宋_GB2312"/>
                <w:sz w:val="28"/>
                <w:szCs w:val="28"/>
              </w:rPr>
              <w:t>；明清风情影视基地、</w:t>
            </w:r>
            <w:r>
              <w:rPr>
                <w:rFonts w:hint="eastAsia" w:ascii="仿宋_GB2312" w:hAnsi="Times New Roman" w:eastAsia="仿宋_GB2312"/>
                <w:bCs/>
                <w:sz w:val="28"/>
                <w:szCs w:val="28"/>
              </w:rPr>
              <w:t>中国桐城国际灯光艺术节及建筑照明艺术展、《父子宰相》电视剧等</w:t>
            </w:r>
            <w:r>
              <w:rPr>
                <w:rFonts w:hint="eastAsia" w:ascii="仿宋_GB2312" w:hAnsi="Times New Roman" w:eastAsia="仿宋_GB2312"/>
                <w:bCs/>
                <w:sz w:val="28"/>
                <w:szCs w:val="28"/>
                <w:lang w:val="en-US" w:eastAsia="zh-CN"/>
              </w:rPr>
              <w:t>。</w:t>
            </w:r>
          </w:p>
          <w:p w14:paraId="582FA1FF">
            <w:pPr>
              <w:spacing w:line="400" w:lineRule="exact"/>
              <w:ind w:firstLine="562" w:firstLineChars="200"/>
              <w:rPr>
                <w:rFonts w:hint="eastAsia" w:ascii="仿宋_GB2312" w:eastAsia="仿宋_GB2312"/>
                <w:sz w:val="28"/>
                <w:szCs w:val="28"/>
                <w:lang w:eastAsia="zh-CN"/>
              </w:rPr>
            </w:pPr>
            <w:r>
              <w:rPr>
                <w:rFonts w:hint="eastAsia" w:ascii="仿宋_GB2312" w:eastAsia="仿宋_GB2312"/>
                <w:b/>
                <w:sz w:val="28"/>
                <w:szCs w:val="28"/>
              </w:rPr>
              <w:t>文化旅游融合工程。</w:t>
            </w:r>
            <w:r>
              <w:rPr>
                <w:rFonts w:hint="eastAsia" w:ascii="仿宋_GB2312" w:eastAsia="仿宋_GB2312"/>
                <w:sz w:val="28"/>
                <w:szCs w:val="28"/>
              </w:rPr>
              <w:t>嬉子湖旅游度假区、嬉子湖国家湿地公园提升工程、</w:t>
            </w:r>
            <w:r>
              <w:rPr>
                <w:rFonts w:hint="eastAsia" w:ascii="仿宋_GB2312" w:hAnsi="Times New Roman" w:eastAsia="仿宋_GB2312"/>
                <w:bCs/>
                <w:sz w:val="28"/>
                <w:szCs w:val="28"/>
              </w:rPr>
              <w:t>仙龙湖山水园文化旅游二期、披雪瀑景区品质提升、永椿生态园林品质提升、横山练水生态旅游度假区、桐城市横山主题体验区、童铺佘冲生态旅游度假开发、百丈崖景区综合开发、五聚岭景区、北峡关旅游度假区、三道岩旅游区；</w:t>
            </w:r>
            <w:r>
              <w:rPr>
                <w:rFonts w:hint="eastAsia" w:ascii="仿宋_GB2312" w:eastAsia="仿宋_GB2312"/>
                <w:sz w:val="28"/>
                <w:szCs w:val="28"/>
              </w:rPr>
              <w:t>桐城市红色文化教育基地、欧家岭红色教育基地、</w:t>
            </w:r>
            <w:r>
              <w:rPr>
                <w:rFonts w:hint="eastAsia" w:ascii="仿宋_GB2312" w:hAnsi="Times New Roman" w:eastAsia="仿宋_GB2312"/>
                <w:bCs/>
                <w:sz w:val="28"/>
                <w:szCs w:val="28"/>
              </w:rPr>
              <w:t>望狮岭红色旅游基地</w:t>
            </w:r>
            <w:r>
              <w:rPr>
                <w:rFonts w:hint="eastAsia" w:ascii="仿宋_GB2312" w:hAnsi="Times New Roman" w:eastAsia="仿宋_GB2312"/>
                <w:bCs/>
                <w:sz w:val="28"/>
                <w:szCs w:val="28"/>
                <w:lang w:eastAsia="zh-CN"/>
              </w:rPr>
              <w:t>。</w:t>
            </w:r>
          </w:p>
          <w:p w14:paraId="460A817E">
            <w:pPr>
              <w:spacing w:line="400" w:lineRule="exact"/>
              <w:ind w:firstLine="562" w:firstLineChars="200"/>
              <w:rPr>
                <w:rFonts w:hint="eastAsia" w:ascii="仿宋_GB2312" w:eastAsia="仿宋_GB2312"/>
                <w:sz w:val="28"/>
                <w:szCs w:val="28"/>
                <w:lang w:eastAsia="zh-CN"/>
              </w:rPr>
            </w:pPr>
            <w:r>
              <w:rPr>
                <w:rFonts w:hint="eastAsia" w:ascii="仿宋_GB2312" w:eastAsia="仿宋_GB2312"/>
                <w:b/>
                <w:sz w:val="28"/>
                <w:szCs w:val="28"/>
              </w:rPr>
              <w:t>节庆品牌培育工程。</w:t>
            </w:r>
            <w:r>
              <w:rPr>
                <w:rFonts w:hint="eastAsia" w:ascii="仿宋_GB2312" w:eastAsia="仿宋_GB2312"/>
                <w:sz w:val="28"/>
                <w:szCs w:val="28"/>
              </w:rPr>
              <w:t>龙虾文化旅游节暨软包装高峰论坛、孔城年货节、嬉子湖红花草节、樟枫桂花节、</w:t>
            </w:r>
            <w:r>
              <w:rPr>
                <w:rFonts w:hint="eastAsia" w:ascii="仿宋_GB2312" w:eastAsia="仿宋_GB2312"/>
                <w:sz w:val="28"/>
                <w:szCs w:val="28"/>
                <w:lang w:val="en-US" w:eastAsia="zh-CN"/>
              </w:rPr>
              <w:t>大关美食文化节、</w:t>
            </w:r>
            <w:r>
              <w:rPr>
                <w:rFonts w:hint="eastAsia" w:ascii="仿宋_GB2312" w:eastAsia="仿宋_GB2312"/>
                <w:sz w:val="28"/>
                <w:szCs w:val="28"/>
              </w:rPr>
              <w:t>唐湾民俗文化节、吕亭采茶节等</w:t>
            </w:r>
            <w:r>
              <w:rPr>
                <w:rFonts w:hint="eastAsia" w:ascii="仿宋_GB2312" w:eastAsia="仿宋_GB2312"/>
                <w:sz w:val="28"/>
                <w:szCs w:val="28"/>
                <w:lang w:eastAsia="zh-CN"/>
              </w:rPr>
              <w:t>。</w:t>
            </w:r>
          </w:p>
          <w:p w14:paraId="170116AF">
            <w:pPr>
              <w:spacing w:line="400" w:lineRule="exact"/>
              <w:ind w:firstLine="562" w:firstLineChars="200"/>
              <w:rPr>
                <w:rFonts w:hint="eastAsia" w:eastAsia="仿宋_GB2312"/>
                <w:lang w:eastAsia="zh-CN"/>
              </w:rPr>
            </w:pPr>
            <w:r>
              <w:rPr>
                <w:rFonts w:hint="eastAsia" w:ascii="仿宋_GB2312" w:eastAsia="仿宋_GB2312"/>
                <w:b/>
                <w:sz w:val="28"/>
                <w:szCs w:val="28"/>
              </w:rPr>
              <w:t>配套服务设施建设。</w:t>
            </w:r>
            <w:r>
              <w:rPr>
                <w:rFonts w:hint="eastAsia" w:ascii="仿宋_GB2312" w:hAnsi="Times New Roman" w:eastAsia="仿宋_GB2312"/>
                <w:bCs/>
                <w:sz w:val="28"/>
                <w:szCs w:val="28"/>
              </w:rPr>
              <w:t>桐城市旅游集散中心、孔城老街景区游客服务中心及文旅商业配套设施、嬉子湖镇旅游集散中心；旅游导向标识系统、旅游休闲驿站系统；桐城市北纬31度山地风景道、嬉子湖水乡风景道、桐城文脉风景道、嬉子湖旅游航线码头、</w:t>
            </w:r>
            <w:r>
              <w:rPr>
                <w:rFonts w:hint="eastAsia" w:ascii="仿宋_GB2312" w:eastAsia="仿宋_GB2312"/>
                <w:sz w:val="28"/>
                <w:szCs w:val="28"/>
              </w:rPr>
              <w:t>汪河向阳葛湾生态民宿、</w:t>
            </w:r>
            <w:r>
              <w:rPr>
                <w:rFonts w:hint="eastAsia" w:ascii="仿宋_GB2312" w:eastAsia="仿宋_GB2312"/>
                <w:sz w:val="28"/>
                <w:szCs w:val="28"/>
                <w:lang w:val="en-US" w:eastAsia="zh-CN"/>
              </w:rPr>
              <w:t>孔城</w:t>
            </w:r>
            <w:r>
              <w:rPr>
                <w:rFonts w:hint="eastAsia" w:ascii="仿宋_GB2312" w:eastAsia="仿宋_GB2312"/>
                <w:sz w:val="28"/>
                <w:szCs w:val="28"/>
              </w:rPr>
              <w:t>老街旅游码头、双新酒店、大龙井旅游开发、花间塘AAAA级景区、三八河滨水旅游带</w:t>
            </w:r>
            <w:r>
              <w:rPr>
                <w:rFonts w:hint="eastAsia" w:ascii="仿宋_GB2312" w:eastAsia="仿宋_GB2312"/>
                <w:sz w:val="28"/>
                <w:szCs w:val="28"/>
                <w:lang w:val="en-US" w:eastAsia="zh-CN"/>
              </w:rPr>
              <w:t>等。</w:t>
            </w:r>
          </w:p>
        </w:tc>
      </w:tr>
    </w:tbl>
    <w:p w14:paraId="312FDF0B">
      <w:pPr>
        <w:spacing w:line="360" w:lineRule="auto"/>
        <w:ind w:firstLine="643" w:firstLineChars="200"/>
        <w:rPr>
          <w:rFonts w:ascii="Times New Roman" w:hAnsi="Times New Roman" w:eastAsia="仿宋_GB2312"/>
          <w:b/>
          <w:bCs/>
          <w:sz w:val="32"/>
          <w:szCs w:val="32"/>
        </w:rPr>
      </w:pPr>
    </w:p>
    <w:p w14:paraId="1D2D714D">
      <w:pPr>
        <w:spacing w:line="360" w:lineRule="auto"/>
        <w:ind w:firstLine="643" w:firstLineChars="200"/>
      </w:pPr>
      <w:r>
        <w:rPr>
          <w:rFonts w:ascii="Times New Roman" w:hAnsi="Times New Roman" w:eastAsia="仿宋_GB2312"/>
          <w:b/>
          <w:bCs/>
          <w:sz w:val="32"/>
          <w:szCs w:val="32"/>
        </w:rPr>
        <w:t>壮大生产性服务业规模</w:t>
      </w:r>
      <w:r>
        <w:rPr>
          <w:rFonts w:hint="eastAsia" w:ascii="Times New Roman" w:hAnsi="Times New Roman" w:eastAsia="仿宋_GB2312"/>
          <w:b/>
          <w:bCs/>
          <w:sz w:val="32"/>
          <w:szCs w:val="32"/>
        </w:rPr>
        <w:t>。</w:t>
      </w:r>
      <w:r>
        <w:rPr>
          <w:rFonts w:ascii="Times New Roman" w:hAnsi="Times New Roman" w:eastAsia="仿宋_GB2312"/>
          <w:bCs/>
          <w:sz w:val="32"/>
          <w:szCs w:val="32"/>
        </w:rPr>
        <w:t>以产业升级需求为导向，推动生产服务专业化、高端化发展，发展壮大高技术服务业，提升产业体系整体素质和竞争力。</w:t>
      </w:r>
      <w:bookmarkStart w:id="27" w:name="_Toc32486"/>
      <w:bookmarkStart w:id="28" w:name="_Toc10893"/>
      <w:r>
        <w:rPr>
          <w:rFonts w:ascii="Times New Roman" w:hAnsi="Times New Roman" w:eastAsia="仿宋_GB2312"/>
          <w:b/>
          <w:sz w:val="32"/>
          <w:szCs w:val="32"/>
        </w:rPr>
        <w:t>现代物流</w:t>
      </w:r>
      <w:bookmarkEnd w:id="27"/>
      <w:r>
        <w:rPr>
          <w:rFonts w:hint="eastAsia" w:ascii="Times New Roman" w:hAnsi="Times New Roman" w:eastAsia="仿宋_GB2312"/>
          <w:b/>
          <w:sz w:val="32"/>
          <w:szCs w:val="32"/>
        </w:rPr>
        <w:t>业方面，</w:t>
      </w:r>
      <w:r>
        <w:rPr>
          <w:rFonts w:ascii="Times New Roman" w:hAnsi="Times New Roman" w:eastAsia="仿宋_GB2312"/>
          <w:bCs/>
          <w:sz w:val="32"/>
          <w:szCs w:val="32"/>
        </w:rPr>
        <w:t>积极发展农产品电子商务物流、医药物流、工业物流、冷链物流</w:t>
      </w:r>
      <w:r>
        <w:rPr>
          <w:rFonts w:hint="eastAsia" w:ascii="Times New Roman" w:hAnsi="Times New Roman" w:eastAsia="仿宋_GB2312"/>
          <w:bCs/>
          <w:sz w:val="32"/>
          <w:szCs w:val="32"/>
        </w:rPr>
        <w:t>，</w:t>
      </w:r>
      <w:r>
        <w:rPr>
          <w:rFonts w:ascii="Times New Roman" w:hAnsi="Times New Roman" w:eastAsia="仿宋_GB2312"/>
          <w:bCs/>
          <w:sz w:val="32"/>
          <w:szCs w:val="32"/>
        </w:rPr>
        <w:t>加快大数据、云计算、物联网等</w:t>
      </w:r>
      <w:r>
        <w:rPr>
          <w:rFonts w:hint="eastAsia" w:ascii="Times New Roman" w:hAnsi="Times New Roman" w:eastAsia="仿宋_GB2312"/>
          <w:bCs/>
          <w:sz w:val="32"/>
          <w:szCs w:val="32"/>
        </w:rPr>
        <w:t>信息化</w:t>
      </w:r>
      <w:r>
        <w:rPr>
          <w:rFonts w:ascii="Times New Roman" w:hAnsi="Times New Roman" w:eastAsia="仿宋_GB2312"/>
          <w:bCs/>
          <w:sz w:val="32"/>
          <w:szCs w:val="32"/>
        </w:rPr>
        <w:t>技术应用，</w:t>
      </w:r>
      <w:r>
        <w:rPr>
          <w:rFonts w:hint="eastAsia" w:ascii="Times New Roman" w:hAnsi="Times New Roman" w:eastAsia="仿宋_GB2312"/>
          <w:bCs/>
          <w:sz w:val="32"/>
          <w:szCs w:val="32"/>
        </w:rPr>
        <w:t>构建</w:t>
      </w:r>
      <w:r>
        <w:rPr>
          <w:rFonts w:ascii="Times New Roman" w:hAnsi="Times New Roman" w:eastAsia="仿宋_GB2312"/>
          <w:bCs/>
          <w:sz w:val="32"/>
          <w:szCs w:val="32"/>
        </w:rPr>
        <w:t>智慧物流体系。加快综合商贸物流园、公水联运物流园、公铁联运物流园、智慧物流园等项目建设</w:t>
      </w:r>
      <w:r>
        <w:rPr>
          <w:rFonts w:hint="eastAsia" w:ascii="Times New Roman" w:hAnsi="Times New Roman" w:eastAsia="仿宋_GB2312"/>
          <w:bCs/>
          <w:sz w:val="32"/>
          <w:szCs w:val="32"/>
        </w:rPr>
        <w:t>。</w:t>
      </w:r>
      <w:bookmarkEnd w:id="28"/>
      <w:bookmarkStart w:id="29" w:name="_Toc59"/>
      <w:r>
        <w:rPr>
          <w:rFonts w:ascii="Times New Roman" w:hAnsi="Times New Roman" w:eastAsia="仿宋_GB2312"/>
          <w:b/>
          <w:sz w:val="32"/>
          <w:szCs w:val="32"/>
        </w:rPr>
        <w:t>科创服务</w:t>
      </w:r>
      <w:bookmarkEnd w:id="29"/>
      <w:r>
        <w:rPr>
          <w:rFonts w:hint="eastAsia" w:ascii="Times New Roman" w:hAnsi="Times New Roman" w:eastAsia="仿宋_GB2312"/>
          <w:b/>
          <w:sz w:val="32"/>
          <w:szCs w:val="32"/>
        </w:rPr>
        <w:t>业方面，</w:t>
      </w:r>
      <w:r>
        <w:rPr>
          <w:rFonts w:ascii="Times New Roman" w:hAnsi="Times New Roman" w:eastAsia="仿宋_GB2312"/>
          <w:bCs/>
          <w:sz w:val="32"/>
          <w:szCs w:val="32"/>
        </w:rPr>
        <w:t>大力发展研究开发、工业设计、技术转移转化、创业孵化、科技咨询等科技服务业，加快建设</w:t>
      </w:r>
      <w:r>
        <w:rPr>
          <w:rFonts w:hint="eastAsia" w:ascii="Times New Roman" w:hAnsi="Times New Roman" w:eastAsia="仿宋_GB2312"/>
          <w:bCs/>
          <w:sz w:val="32"/>
          <w:szCs w:val="32"/>
        </w:rPr>
        <w:t>一批</w:t>
      </w:r>
      <w:r>
        <w:rPr>
          <w:rFonts w:ascii="Times New Roman" w:hAnsi="Times New Roman" w:eastAsia="仿宋_GB2312"/>
          <w:bCs/>
          <w:sz w:val="32"/>
          <w:szCs w:val="32"/>
        </w:rPr>
        <w:t>综合性科技服务平台，构建覆盖科技创新全链条、产品生产全周期的创业创新服务体系。探索“互联网＋科技服务业”</w:t>
      </w:r>
      <w:r>
        <w:rPr>
          <w:rFonts w:hint="eastAsia" w:ascii="Times New Roman" w:hAnsi="Times New Roman" w:eastAsia="仿宋_GB2312"/>
          <w:bCs/>
          <w:sz w:val="32"/>
          <w:szCs w:val="32"/>
        </w:rPr>
        <w:t>，</w:t>
      </w:r>
      <w:r>
        <w:rPr>
          <w:rFonts w:ascii="Times New Roman" w:hAnsi="Times New Roman" w:eastAsia="仿宋_GB2312"/>
          <w:bCs/>
          <w:sz w:val="32"/>
          <w:szCs w:val="32"/>
        </w:rPr>
        <w:t>提升科技服务业对科技创新和产业发展的支撑能力。</w:t>
      </w:r>
      <w:bookmarkStart w:id="30" w:name="_Toc17677"/>
      <w:r>
        <w:rPr>
          <w:rFonts w:ascii="Times New Roman" w:hAnsi="Times New Roman" w:eastAsia="仿宋_GB2312"/>
          <w:b/>
          <w:sz w:val="32"/>
          <w:szCs w:val="32"/>
        </w:rPr>
        <w:t>金融服务</w:t>
      </w:r>
      <w:bookmarkEnd w:id="30"/>
      <w:r>
        <w:rPr>
          <w:rFonts w:hint="eastAsia" w:ascii="Times New Roman" w:hAnsi="Times New Roman" w:eastAsia="仿宋_GB2312"/>
          <w:b/>
          <w:sz w:val="32"/>
          <w:szCs w:val="32"/>
        </w:rPr>
        <w:t>业方面，</w:t>
      </w:r>
      <w:r>
        <w:rPr>
          <w:rFonts w:hint="eastAsia" w:ascii="Times New Roman" w:hAnsi="Times New Roman" w:eastAsia="仿宋_GB2312"/>
          <w:bCs/>
          <w:sz w:val="32"/>
          <w:szCs w:val="32"/>
        </w:rPr>
        <w:t>大力</w:t>
      </w:r>
      <w:r>
        <w:rPr>
          <w:rFonts w:ascii="Times New Roman" w:hAnsi="Times New Roman" w:eastAsia="仿宋_GB2312"/>
          <w:bCs/>
          <w:sz w:val="32"/>
          <w:szCs w:val="32"/>
        </w:rPr>
        <w:t>培育桐城市农商银行等本土品牌化金融机构</w:t>
      </w:r>
      <w:r>
        <w:rPr>
          <w:rFonts w:hint="eastAsia" w:ascii="Times New Roman" w:hAnsi="Times New Roman" w:eastAsia="仿宋_GB2312"/>
          <w:bCs/>
          <w:sz w:val="32"/>
          <w:szCs w:val="32"/>
        </w:rPr>
        <w:t>，支持符合条件的境内外银行、证券、保险等金融机构在我市设立区域性管理总部、分支机构和功能性机构。</w:t>
      </w:r>
      <w:r>
        <w:rPr>
          <w:rFonts w:ascii="Times New Roman" w:hAnsi="Times New Roman" w:eastAsia="仿宋_GB2312"/>
          <w:bCs/>
          <w:sz w:val="32"/>
          <w:szCs w:val="32"/>
        </w:rPr>
        <w:t>支持小额贷款公司规范化、特色化、专业化、多元化、集团化发展。培育功能完善的金融中介服务机构</w:t>
      </w:r>
      <w:r>
        <w:rPr>
          <w:rFonts w:hint="eastAsia" w:ascii="Times New Roman" w:hAnsi="Times New Roman" w:eastAsia="仿宋_GB2312"/>
          <w:bCs/>
          <w:sz w:val="32"/>
          <w:szCs w:val="32"/>
        </w:rPr>
        <w:t>，</w:t>
      </w:r>
      <w:r>
        <w:rPr>
          <w:rFonts w:ascii="Times New Roman" w:hAnsi="Times New Roman" w:eastAsia="仿宋_GB2312"/>
          <w:bCs/>
          <w:sz w:val="32"/>
          <w:szCs w:val="32"/>
        </w:rPr>
        <w:t>积极发展直接融资。</w:t>
      </w:r>
      <w:r>
        <w:rPr>
          <w:rFonts w:ascii="Times New Roman" w:hAnsi="Times New Roman" w:eastAsia="仿宋_GB2312"/>
          <w:b/>
          <w:sz w:val="32"/>
          <w:szCs w:val="32"/>
        </w:rPr>
        <w:t>商务服务</w:t>
      </w:r>
      <w:r>
        <w:rPr>
          <w:rFonts w:hint="eastAsia" w:ascii="Times New Roman" w:hAnsi="Times New Roman" w:eastAsia="仿宋_GB2312"/>
          <w:b/>
          <w:sz w:val="32"/>
          <w:szCs w:val="32"/>
        </w:rPr>
        <w:t>业方面，</w:t>
      </w:r>
      <w:r>
        <w:rPr>
          <w:rFonts w:ascii="Times New Roman" w:hAnsi="Times New Roman" w:eastAsia="仿宋_GB2312"/>
          <w:bCs/>
          <w:sz w:val="32"/>
          <w:szCs w:val="32"/>
        </w:rPr>
        <w:t>大力发展审计、会计、法务、咨询、商标品牌专利、版权、资产评估、知识产权转化转让、人力资源等现代商务服务业。积极发展楼宇经济，推动商务服务和楼宇经济融合互促，打造核心商务区。</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4"/>
      </w:tblGrid>
      <w:tr w14:paraId="4A306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3" w:hRule="atLeast"/>
        </w:trPr>
        <w:tc>
          <w:tcPr>
            <w:tcW w:w="8414" w:type="dxa"/>
          </w:tcPr>
          <w:p w14:paraId="2DAD8672">
            <w:pPr>
              <w:tabs>
                <w:tab w:val="left" w:pos="540"/>
              </w:tabs>
              <w:snapToGrid w:val="0"/>
              <w:spacing w:line="360" w:lineRule="auto"/>
              <w:jc w:val="center"/>
              <w:rPr>
                <w:rFonts w:ascii="楷体" w:hAnsi="楷体" w:eastAsia="楷体" w:cs="仿宋_GB2312"/>
                <w:b/>
                <w:sz w:val="30"/>
                <w:szCs w:val="30"/>
                <w:lang w:val="zh-CN"/>
              </w:rPr>
            </w:pPr>
            <w:bookmarkStart w:id="31" w:name="_Toc53004281"/>
            <w:bookmarkStart w:id="32" w:name="_Toc53003436"/>
            <w:r>
              <w:rPr>
                <w:rFonts w:hint="eastAsia" w:ascii="楷体" w:hAnsi="楷体" w:eastAsia="楷体" w:cs="仿宋_GB2312"/>
                <w:b/>
                <w:sz w:val="30"/>
                <w:szCs w:val="30"/>
                <w:lang w:val="zh-CN"/>
              </w:rPr>
              <w:t>专栏</w:t>
            </w:r>
            <w:r>
              <w:rPr>
                <w:rFonts w:hint="eastAsia" w:ascii="楷体" w:hAnsi="楷体" w:eastAsia="楷体" w:cs="仿宋_GB2312"/>
                <w:b/>
                <w:sz w:val="30"/>
                <w:szCs w:val="30"/>
              </w:rPr>
              <w:t>6</w:t>
            </w:r>
            <w:r>
              <w:rPr>
                <w:rFonts w:hint="eastAsia" w:ascii="楷体" w:hAnsi="楷体" w:eastAsia="楷体" w:cs="仿宋_GB2312"/>
                <w:b/>
                <w:sz w:val="30"/>
                <w:szCs w:val="30"/>
                <w:lang w:val="zh-CN"/>
              </w:rPr>
              <w:t>：生产性服务业重点项目</w:t>
            </w:r>
          </w:p>
          <w:p w14:paraId="0289A1CE">
            <w:pPr>
              <w:spacing w:line="400" w:lineRule="exact"/>
              <w:ind w:firstLine="560" w:firstLineChars="200"/>
              <w:rPr>
                <w:rFonts w:ascii="仿宋_GB2312" w:hAnsi="宋体" w:eastAsia="仿宋_GB2312" w:cs="宋体"/>
                <w:spacing w:val="-14"/>
                <w:sz w:val="24"/>
                <w:lang w:val="zh-CN"/>
              </w:rPr>
            </w:pPr>
            <w:r>
              <w:rPr>
                <w:rFonts w:hint="eastAsia" w:ascii="仿宋_GB2312" w:eastAsia="仿宋_GB2312"/>
                <w:color w:val="auto"/>
                <w:sz w:val="28"/>
                <w:lang w:val="en-US" w:eastAsia="zh-CN"/>
              </w:rPr>
              <w:t>推进建设</w:t>
            </w:r>
            <w:r>
              <w:rPr>
                <w:rFonts w:hint="eastAsia" w:ascii="仿宋_GB2312" w:eastAsia="仿宋_GB2312"/>
                <w:color w:val="auto"/>
                <w:sz w:val="28"/>
                <w:lang w:eastAsia="zh-CN"/>
              </w:rPr>
              <w:t>吕亭综合商贸物流园、引江济淮金河湾旅游码头、桐城市农产品智慧冷链物流平台、孔城码头暨物流园、软包装电商产业园、会展产业园建设二期</w:t>
            </w:r>
            <w:r>
              <w:rPr>
                <w:rFonts w:hint="eastAsia" w:ascii="仿宋_GB2312" w:eastAsia="仿宋_GB2312"/>
                <w:color w:val="auto"/>
                <w:sz w:val="28"/>
                <w:lang w:val="en-US" w:eastAsia="zh-CN"/>
              </w:rPr>
              <w:t>等</w:t>
            </w:r>
            <w:r>
              <w:rPr>
                <w:rFonts w:hint="eastAsia" w:ascii="仿宋_GB2312" w:eastAsia="仿宋_GB2312"/>
                <w:color w:val="auto"/>
                <w:sz w:val="28"/>
                <w:lang w:eastAsia="zh-CN"/>
              </w:rPr>
              <w:t>。</w:t>
            </w:r>
          </w:p>
        </w:tc>
      </w:tr>
    </w:tbl>
    <w:p w14:paraId="4799F54C">
      <w:pPr>
        <w:ind w:firstLine="643" w:firstLineChars="200"/>
        <w:jc w:val="left"/>
        <w:rPr>
          <w:rFonts w:hint="eastAsia" w:ascii="仿宋_GB2312" w:hAnsi="Times New Roman" w:eastAsia="仿宋_GB2312"/>
          <w:b/>
          <w:bCs/>
          <w:sz w:val="32"/>
          <w:szCs w:val="32"/>
        </w:rPr>
      </w:pPr>
    </w:p>
    <w:p w14:paraId="0E41F5E0">
      <w:pPr>
        <w:ind w:firstLine="643" w:firstLineChars="200"/>
        <w:jc w:val="left"/>
      </w:pPr>
      <w:r>
        <w:rPr>
          <w:rFonts w:hint="eastAsia" w:ascii="仿宋_GB2312" w:hAnsi="Times New Roman" w:eastAsia="仿宋_GB2312"/>
          <w:b/>
          <w:bCs/>
          <w:sz w:val="32"/>
          <w:szCs w:val="32"/>
        </w:rPr>
        <w:t>提升生活性服务业品质</w:t>
      </w:r>
      <w:bookmarkEnd w:id="31"/>
      <w:bookmarkEnd w:id="32"/>
      <w:r>
        <w:rPr>
          <w:rFonts w:hint="eastAsia" w:ascii="仿宋_GB2312" w:hAnsi="Times New Roman" w:eastAsia="仿宋_GB2312"/>
          <w:b/>
          <w:bCs/>
          <w:sz w:val="32"/>
          <w:szCs w:val="32"/>
        </w:rPr>
        <w:t>。</w:t>
      </w:r>
      <w:r>
        <w:rPr>
          <w:rFonts w:hint="eastAsia" w:ascii="仿宋_GB2312" w:hAnsi="Times New Roman" w:eastAsia="仿宋_GB2312"/>
          <w:sz w:val="32"/>
          <w:szCs w:val="32"/>
        </w:rPr>
        <w:t>聚焦居民多样化、个性化、精细化、高品质消费需求，充分发挥生活性服务业对扩大消费、吸纳就业、富民增收、提升居民生活水平方面的重要作用，加快生活性服务业向便利化和品质化升级。</w:t>
      </w:r>
      <w:r>
        <w:rPr>
          <w:rFonts w:hint="eastAsia" w:ascii="仿宋_GB2312" w:hAnsi="Times New Roman" w:eastAsia="仿宋_GB2312"/>
          <w:b/>
          <w:sz w:val="32"/>
          <w:szCs w:val="32"/>
        </w:rPr>
        <w:t>商贸服务业方面，</w:t>
      </w:r>
      <w:r>
        <w:rPr>
          <w:rFonts w:hint="eastAsia" w:ascii="仿宋_GB2312" w:hAnsi="Times New Roman" w:eastAsia="仿宋_GB2312"/>
          <w:color w:val="000000" w:themeColor="text1"/>
          <w:sz w:val="32"/>
          <w:szCs w:val="32"/>
        </w:rPr>
        <w:t>强化中心城区商贸辐射带动力，积极推进与城市定位相适应的商贸设施建设，引导老城区和新城区商圈错位、互补联动发展。建设提升一批专业市场、批发市场，大力发展社区便民商业。开展“互联网+市场”行动，形成商贸服务发展新动能。</w:t>
      </w:r>
      <w:r>
        <w:rPr>
          <w:rFonts w:hint="eastAsia" w:ascii="仿宋_GB2312" w:hAnsi="Times New Roman" w:eastAsia="仿宋_GB2312"/>
          <w:b/>
          <w:sz w:val="32"/>
          <w:szCs w:val="32"/>
        </w:rPr>
        <w:t>住宿餐饮业方面，</w:t>
      </w:r>
      <w:r>
        <w:rPr>
          <w:rFonts w:hint="eastAsia" w:ascii="仿宋_GB2312" w:hAnsi="Times New Roman" w:eastAsia="仿宋_GB2312"/>
          <w:sz w:val="32"/>
          <w:szCs w:val="32"/>
        </w:rPr>
        <w:t>结合全域旅游、文化旅游、乡村旅游等，积极发展星级酒店、快捷酒店、绿色饭店、主题饭店、民宿客栈、酒店式公寓、农家乐等满足不同消费群体需求的住宿餐饮业。深入挖掘桐城传统餐饮名品，培育餐饮知名品牌。深入推进住宿餐饮“互联网+”，实现线上线下融合发展。</w:t>
      </w:r>
      <w:r>
        <w:rPr>
          <w:rFonts w:hint="eastAsia" w:ascii="仿宋_GB2312" w:hAnsi="Times New Roman" w:eastAsia="仿宋_GB2312"/>
          <w:b/>
          <w:sz w:val="32"/>
          <w:szCs w:val="32"/>
        </w:rPr>
        <w:t>健康养老业方面，</w:t>
      </w:r>
      <w:r>
        <w:rPr>
          <w:rFonts w:hint="eastAsia" w:ascii="仿宋_GB2312" w:hAnsi="Times New Roman" w:eastAsia="仿宋_GB2312"/>
          <w:sz w:val="32"/>
          <w:szCs w:val="32"/>
        </w:rPr>
        <w:t>鼓励社会力量参与健康养老服务业，积极发展康体养生旅游、健康保险等新业态，支持康复医院、护理院发展，推动医养结合。推进城乡居家养老服务中心建设，逐步实现城镇居家养老服务全覆盖。</w:t>
      </w:r>
      <w:r>
        <w:rPr>
          <w:rFonts w:hint="eastAsia" w:ascii="仿宋_GB2312" w:hAnsi="Times New Roman" w:eastAsia="仿宋_GB2312"/>
          <w:b/>
          <w:sz w:val="32"/>
          <w:szCs w:val="32"/>
        </w:rPr>
        <w:t>家庭服务业方面，</w:t>
      </w:r>
      <w:r>
        <w:rPr>
          <w:rFonts w:hint="eastAsia" w:ascii="仿宋_GB2312" w:hAnsi="Times New Roman" w:eastAsia="仿宋_GB2312"/>
          <w:sz w:val="32"/>
          <w:szCs w:val="32"/>
        </w:rPr>
        <w:t>着力发展家政服务、居家养老、社区照料、残疾人托养、社区商业等家庭服务。引导社会资本投资家庭服务业，鼓励有条件的企业品牌化、连锁化发展，支持中小家政服务企业专业化、特色化发展。加强服务规范化和职业化建设。支持邻里中心或社区综合服务中心建设，完善社区菜店、快餐店、便利店、维修店、配送站等。</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4"/>
      </w:tblGrid>
      <w:tr w14:paraId="1CB2B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8414" w:type="dxa"/>
          </w:tcPr>
          <w:p w14:paraId="7CFBD5F5">
            <w:pPr>
              <w:tabs>
                <w:tab w:val="left" w:pos="540"/>
              </w:tabs>
              <w:snapToGrid w:val="0"/>
              <w:spacing w:line="360" w:lineRule="auto"/>
              <w:jc w:val="center"/>
              <w:rPr>
                <w:rFonts w:ascii="楷体" w:hAnsi="楷体" w:eastAsia="楷体" w:cs="仿宋_GB2312"/>
                <w:b/>
                <w:sz w:val="30"/>
                <w:szCs w:val="30"/>
                <w:lang w:val="zh-CN"/>
              </w:rPr>
            </w:pPr>
            <w:bookmarkStart w:id="33" w:name="_Toc53003437"/>
            <w:bookmarkStart w:id="34" w:name="_Toc53004282"/>
            <w:r>
              <w:rPr>
                <w:rFonts w:hint="eastAsia" w:ascii="楷体" w:hAnsi="楷体" w:eastAsia="楷体" w:cs="仿宋_GB2312"/>
                <w:b/>
                <w:sz w:val="30"/>
                <w:szCs w:val="30"/>
                <w:lang w:val="zh-CN"/>
              </w:rPr>
              <w:t>专栏</w:t>
            </w:r>
            <w:r>
              <w:rPr>
                <w:rFonts w:hint="eastAsia" w:ascii="楷体" w:hAnsi="楷体" w:eastAsia="楷体" w:cs="仿宋_GB2312"/>
                <w:b/>
                <w:sz w:val="30"/>
                <w:szCs w:val="30"/>
              </w:rPr>
              <w:t>7</w:t>
            </w:r>
            <w:r>
              <w:rPr>
                <w:rFonts w:hint="eastAsia" w:ascii="楷体" w:hAnsi="楷体" w:eastAsia="楷体" w:cs="仿宋_GB2312"/>
                <w:b/>
                <w:sz w:val="30"/>
                <w:szCs w:val="30"/>
                <w:lang w:val="zh-CN"/>
              </w:rPr>
              <w:t>：生活性服务业重点项目</w:t>
            </w:r>
          </w:p>
          <w:p w14:paraId="70D9C42F">
            <w:pPr>
              <w:spacing w:line="400" w:lineRule="exact"/>
              <w:ind w:firstLine="560" w:firstLineChars="200"/>
              <w:rPr>
                <w:rFonts w:ascii="仿宋_GB2312" w:hAnsi="宋体" w:eastAsia="仿宋_GB2312" w:cs="宋体"/>
                <w:spacing w:val="-14"/>
                <w:szCs w:val="21"/>
                <w:lang w:val="zh-CN"/>
              </w:rPr>
            </w:pPr>
            <w:r>
              <w:rPr>
                <w:rFonts w:hint="eastAsia" w:ascii="仿宋_GB2312" w:eastAsia="仿宋_GB2312"/>
                <w:sz w:val="28"/>
                <w:lang w:val="en-US" w:eastAsia="zh-CN"/>
              </w:rPr>
              <w:t>推进建设桐城市城区农贸市场、桐城大地农产品批发市场、桐城市交通汽贸大市场、唐湾农特产品交易大市场、大关美食民俗街、抽水蓄能电站圣仙湖休闲康养基地、同安南路美食广场、双新农贸大市场、金大地汽车城、吕亭茶叶交易中心、水岭农业康养、桐城松苑文化康养小镇、新渡镇综合农贸大市场等。</w:t>
            </w:r>
          </w:p>
        </w:tc>
      </w:tr>
    </w:tbl>
    <w:p w14:paraId="190AB031">
      <w:pPr>
        <w:ind w:firstLine="643" w:firstLineChars="200"/>
        <w:rPr>
          <w:rFonts w:ascii="Times New Roman" w:hAnsi="Times New Roman" w:eastAsia="仿宋_GB2312"/>
          <w:b/>
          <w:bCs/>
          <w:sz w:val="32"/>
          <w:szCs w:val="32"/>
        </w:rPr>
      </w:pPr>
    </w:p>
    <w:p w14:paraId="6CD19943">
      <w:pPr>
        <w:ind w:firstLine="643" w:firstLineChars="200"/>
        <w:rPr>
          <w:rFonts w:ascii="Times New Roman" w:hAnsi="Times New Roman" w:eastAsia="仿宋_GB2312"/>
          <w:sz w:val="32"/>
          <w:szCs w:val="32"/>
        </w:rPr>
      </w:pPr>
      <w:r>
        <w:rPr>
          <w:rFonts w:ascii="Times New Roman" w:hAnsi="Times New Roman" w:eastAsia="仿宋_GB2312"/>
          <w:b/>
          <w:bCs/>
          <w:sz w:val="32"/>
          <w:szCs w:val="32"/>
        </w:rPr>
        <w:t>加快服务业集聚发展</w:t>
      </w:r>
      <w:bookmarkEnd w:id="33"/>
      <w:bookmarkEnd w:id="34"/>
      <w:r>
        <w:rPr>
          <w:rFonts w:hint="eastAsia" w:ascii="Times New Roman" w:hAnsi="Times New Roman" w:eastAsia="仿宋_GB2312"/>
          <w:b/>
          <w:bCs/>
          <w:sz w:val="32"/>
          <w:szCs w:val="32"/>
        </w:rPr>
        <w:t>。</w:t>
      </w:r>
      <w:r>
        <w:rPr>
          <w:rFonts w:hint="eastAsia" w:ascii="Times New Roman" w:hAnsi="Times New Roman" w:eastAsia="仿宋_GB2312"/>
          <w:sz w:val="32"/>
          <w:szCs w:val="32"/>
        </w:rPr>
        <w:t>实施服务业扩面增效工程，</w:t>
      </w:r>
      <w:r>
        <w:rPr>
          <w:rFonts w:ascii="Times New Roman" w:hAnsi="Times New Roman" w:eastAsia="仿宋_GB2312"/>
          <w:sz w:val="32"/>
          <w:szCs w:val="32"/>
        </w:rPr>
        <w:t>围绕现代物流、文化旅游、科技服务、软件与信息技术服务、电子商务、新型专业市场、中央商务、健康养老等领域，聚焦经济开发区、双新产业园等重点区域，加快建设一批现代物流园、文化创意产业园、电子商务产业园等现代服务业集聚区</w:t>
      </w:r>
      <w:r>
        <w:rPr>
          <w:rFonts w:hint="eastAsia" w:ascii="Times New Roman" w:hAnsi="Times New Roman" w:eastAsia="仿宋_GB2312"/>
          <w:sz w:val="32"/>
          <w:szCs w:val="32"/>
        </w:rPr>
        <w:t>，</w:t>
      </w:r>
      <w:r>
        <w:rPr>
          <w:rFonts w:ascii="Times New Roman" w:hAnsi="Times New Roman" w:eastAsia="仿宋_GB2312"/>
          <w:sz w:val="32"/>
          <w:szCs w:val="32"/>
        </w:rPr>
        <w:t>积极培育创意设计、服务外包、总部经济等服务业特色园区。加强上下游关联配套产业和配套基础设施建设，进一步加强专业化公共服务平台建设，完善和提升集聚区综合服务功能。优化服务业产业布局，加强产业集聚和资源整合力度，提升集聚区集聚集约发展水平。“十四五”期间，打造10个生产性服务业集聚区，力争培育1-2家省级生产性服务业集聚示范园区。</w:t>
      </w:r>
    </w:p>
    <w:p w14:paraId="68FECC71">
      <w:pPr>
        <w:ind w:firstLine="643" w:firstLineChars="200"/>
        <w:rPr>
          <w:rFonts w:ascii="Times New Roman" w:hAnsi="Times New Roman" w:eastAsia="仿宋_GB2312"/>
          <w:sz w:val="32"/>
          <w:szCs w:val="32"/>
        </w:rPr>
      </w:pPr>
      <w:r>
        <w:rPr>
          <w:rFonts w:ascii="Times New Roman" w:hAnsi="Times New Roman" w:eastAsia="仿宋_GB2312"/>
          <w:b/>
          <w:sz w:val="32"/>
          <w:szCs w:val="32"/>
        </w:rPr>
        <w:t>积极发展电子商务。</w:t>
      </w:r>
      <w:r>
        <w:rPr>
          <w:rFonts w:hint="eastAsia" w:ascii="Times New Roman" w:hAnsi="Times New Roman" w:eastAsia="仿宋_GB2312"/>
          <w:sz w:val="32"/>
          <w:szCs w:val="32"/>
        </w:rPr>
        <w:t>进一步提升</w:t>
      </w:r>
      <w:r>
        <w:rPr>
          <w:rFonts w:ascii="Times New Roman" w:hAnsi="Times New Roman" w:eastAsia="仿宋_GB2312"/>
          <w:sz w:val="32"/>
          <w:szCs w:val="32"/>
        </w:rPr>
        <w:t>桐城电子商务</w:t>
      </w:r>
      <w:r>
        <w:rPr>
          <w:rFonts w:hint="eastAsia" w:ascii="Times New Roman" w:hAnsi="Times New Roman" w:eastAsia="仿宋_GB2312"/>
          <w:sz w:val="32"/>
          <w:szCs w:val="32"/>
        </w:rPr>
        <w:t>产业</w:t>
      </w:r>
      <w:r>
        <w:rPr>
          <w:rFonts w:ascii="Times New Roman" w:hAnsi="Times New Roman" w:eastAsia="仿宋_GB2312"/>
          <w:sz w:val="32"/>
          <w:szCs w:val="32"/>
        </w:rPr>
        <w:t>园、跨境电商产业园等平台</w:t>
      </w:r>
      <w:r>
        <w:rPr>
          <w:rFonts w:hint="eastAsia" w:ascii="Times New Roman" w:hAnsi="Times New Roman" w:eastAsia="仿宋_GB2312"/>
          <w:sz w:val="32"/>
          <w:szCs w:val="32"/>
        </w:rPr>
        <w:t>发展水平</w:t>
      </w:r>
      <w:r>
        <w:rPr>
          <w:rFonts w:ascii="Times New Roman" w:hAnsi="Times New Roman" w:eastAsia="仿宋_GB2312"/>
          <w:sz w:val="32"/>
          <w:szCs w:val="32"/>
        </w:rPr>
        <w:t>，完善园区功能和基础设施，逐步将园区打造成集创新研发、创业孵化、人才培训、综合配套于一体的电商集聚地。围绕</w:t>
      </w:r>
      <w:r>
        <w:rPr>
          <w:rFonts w:hint="eastAsia" w:ascii="Times New Roman" w:hAnsi="Times New Roman" w:eastAsia="仿宋_GB2312"/>
          <w:sz w:val="32"/>
          <w:szCs w:val="32"/>
          <w:lang w:val="en-US" w:eastAsia="zh-CN"/>
        </w:rPr>
        <w:t>绿色</w:t>
      </w:r>
      <w:r>
        <w:rPr>
          <w:rFonts w:ascii="Times New Roman" w:hAnsi="Times New Roman" w:eastAsia="仿宋_GB2312"/>
          <w:sz w:val="32"/>
          <w:szCs w:val="32"/>
        </w:rPr>
        <w:t>包装、</w:t>
      </w:r>
      <w:r>
        <w:rPr>
          <w:rFonts w:hint="eastAsia" w:ascii="Times New Roman" w:hAnsi="Times New Roman" w:eastAsia="仿宋_GB2312"/>
          <w:sz w:val="32"/>
          <w:szCs w:val="32"/>
          <w:lang w:val="en-US" w:eastAsia="zh-CN"/>
        </w:rPr>
        <w:t>健康防护</w:t>
      </w:r>
      <w:r>
        <w:rPr>
          <w:rFonts w:ascii="Times New Roman" w:hAnsi="Times New Roman" w:eastAsia="仿宋_GB2312"/>
          <w:sz w:val="32"/>
          <w:szCs w:val="32"/>
        </w:rPr>
        <w:t>、制刷制盖、</w:t>
      </w:r>
      <w:r>
        <w:rPr>
          <w:rFonts w:hint="eastAsia" w:ascii="Times New Roman" w:hAnsi="Times New Roman" w:eastAsia="仿宋_GB2312"/>
          <w:sz w:val="32"/>
          <w:szCs w:val="32"/>
          <w:lang w:val="en-US" w:eastAsia="zh-CN"/>
        </w:rPr>
        <w:t>生态</w:t>
      </w:r>
      <w:r>
        <w:rPr>
          <w:rFonts w:ascii="Times New Roman" w:hAnsi="Times New Roman" w:eastAsia="仿宋_GB2312"/>
          <w:sz w:val="32"/>
          <w:szCs w:val="32"/>
        </w:rPr>
        <w:t>家纺等特色优势产品，鼓励建设一批镇级电商产业基地，引导新型农业经营主体、加工流通企业和电商企业全面融合，</w:t>
      </w:r>
      <w:r>
        <w:rPr>
          <w:rFonts w:hint="eastAsia" w:ascii="Times New Roman" w:hAnsi="Times New Roman" w:eastAsia="仿宋_GB2312"/>
          <w:sz w:val="32"/>
          <w:szCs w:val="32"/>
        </w:rPr>
        <w:t>培育壮大</w:t>
      </w:r>
      <w:r>
        <w:rPr>
          <w:rFonts w:ascii="Times New Roman" w:hAnsi="Times New Roman" w:eastAsia="仿宋_GB2312"/>
          <w:sz w:val="32"/>
          <w:szCs w:val="32"/>
        </w:rPr>
        <w:t>本土电商品牌。着力推动跨境电子商务发展，培育外贸进出口新的增长点，积极争取公用型保税仓库和省级外贸转型升级基地。大力发展农村电子商务，推广“电商企业+基地+合作社+农户”模式，建设桐城特色农产品的数字展览展示馆矩阵，通过“皖邮购”“农村淘宝”等平台，引导城乡农村产品流通线上线下融合，扩大农村市场品牌消费和品质消费。</w:t>
      </w:r>
    </w:p>
    <w:p w14:paraId="45FF1784">
      <w:pPr>
        <w:spacing w:before="100" w:beforeAutospacing="1" w:after="100" w:afterAutospacing="1"/>
        <w:jc w:val="center"/>
        <w:outlineLvl w:val="1"/>
        <w:rPr>
          <w:rFonts w:hint="default" w:ascii="Times New Roman" w:hAnsi="Times New Roman" w:eastAsia="黑体"/>
          <w:sz w:val="32"/>
          <w:szCs w:val="32"/>
          <w:lang w:val="en-US" w:eastAsia="zh-CN"/>
        </w:rPr>
      </w:pPr>
      <w:bookmarkStart w:id="35" w:name="_Toc53003426"/>
      <w:bookmarkStart w:id="36" w:name="_Toc30346"/>
      <w:r>
        <w:rPr>
          <w:rFonts w:ascii="Times New Roman" w:hAnsi="Times New Roman" w:eastAsia="黑体"/>
          <w:sz w:val="32"/>
          <w:szCs w:val="32"/>
        </w:rPr>
        <w:t>第</w:t>
      </w:r>
      <w:r>
        <w:rPr>
          <w:rFonts w:hint="eastAsia" w:ascii="Times New Roman" w:hAnsi="Times New Roman" w:eastAsia="黑体"/>
          <w:sz w:val="32"/>
          <w:szCs w:val="32"/>
          <w:lang w:val="en-US" w:eastAsia="zh-CN"/>
        </w:rPr>
        <w:t>六</w:t>
      </w:r>
      <w:r>
        <w:rPr>
          <w:rFonts w:ascii="Times New Roman" w:hAnsi="Times New Roman" w:eastAsia="黑体"/>
          <w:sz w:val="32"/>
          <w:szCs w:val="32"/>
        </w:rPr>
        <w:t>节</w:t>
      </w:r>
      <w:bookmarkEnd w:id="35"/>
      <w:r>
        <w:rPr>
          <w:rFonts w:hint="eastAsia" w:ascii="Times New Roman" w:hAnsi="Times New Roman" w:eastAsia="黑体"/>
          <w:sz w:val="32"/>
          <w:szCs w:val="32"/>
          <w:lang w:val="en-US" w:eastAsia="zh-CN"/>
        </w:rPr>
        <w:t xml:space="preserve"> 着力培育数字经济</w:t>
      </w:r>
      <w:bookmarkEnd w:id="36"/>
    </w:p>
    <w:p w14:paraId="03DE14B6">
      <w:pPr>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实施智慧县域样板工程，大力发展数字经济，加快数字政府、数字社会建设，以数字化转型整体驱动生产方式、生活方式和治理方式变革，激活数字要素潜能，全面提升经济社会数字化水平，争创省级数字经济创新发展试验区。</w:t>
      </w:r>
    </w:p>
    <w:p w14:paraId="665DEE97">
      <w:pPr>
        <w:pStyle w:val="9"/>
        <w:ind w:firstLine="643"/>
        <w:rPr>
          <w:rFonts w:hint="eastAsia" w:ascii="Times New Roman" w:hAnsi="Times New Roman" w:eastAsia="仿宋_GB2312"/>
          <w:sz w:val="32"/>
          <w:szCs w:val="32"/>
        </w:rPr>
      </w:pPr>
      <w:r>
        <w:rPr>
          <w:rFonts w:hint="eastAsia" w:ascii="Times New Roman" w:hAnsi="Times New Roman" w:eastAsia="仿宋_GB2312"/>
          <w:b/>
          <w:sz w:val="32"/>
          <w:szCs w:val="32"/>
        </w:rPr>
        <w:t>加快“数字桐城、智慧文都”建设。</w:t>
      </w:r>
      <w:r>
        <w:rPr>
          <w:rFonts w:hint="eastAsia" w:ascii="Times New Roman" w:hAnsi="Times New Roman" w:eastAsia="仿宋_GB2312"/>
          <w:sz w:val="32"/>
          <w:szCs w:val="32"/>
        </w:rPr>
        <w:t>聚焦新基建、新场景、新产业，与电科云加强合作，全面推进“数字桐城、智慧文都”项目建设，</w:t>
      </w:r>
      <w:r>
        <w:rPr>
          <w:rFonts w:hint="eastAsia" w:ascii="Times New Roman" w:hAnsi="Times New Roman" w:eastAsia="仿宋_GB2312"/>
          <w:sz w:val="32"/>
          <w:szCs w:val="32"/>
          <w:lang w:val="en-US" w:eastAsia="zh-CN"/>
        </w:rPr>
        <w:t>加快建设桐城智慧县域联合创新实验室、数字桐城大数据中心、电科云桐城研发中心和数字桐城示范工程，力争打造</w:t>
      </w:r>
      <w:r>
        <w:rPr>
          <w:rFonts w:hint="eastAsia" w:ascii="Times New Roman" w:hAnsi="Times New Roman" w:eastAsia="仿宋_GB2312"/>
          <w:sz w:val="32"/>
          <w:szCs w:val="32"/>
        </w:rPr>
        <w:t>智慧县域样板工程</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构建桐城智慧县域生态体系，为产业发展提供技术供给和创新服务。</w:t>
      </w:r>
    </w:p>
    <w:p w14:paraId="0650E1A7">
      <w:pPr>
        <w:ind w:firstLine="643" w:firstLineChars="200"/>
        <w:rPr>
          <w:rFonts w:hint="eastAsia" w:ascii="Times New Roman" w:hAnsi="Times New Roman" w:eastAsia="仿宋_GB2312"/>
          <w:sz w:val="32"/>
          <w:szCs w:val="32"/>
        </w:rPr>
      </w:pPr>
      <w:r>
        <w:rPr>
          <w:rFonts w:hint="eastAsia" w:ascii="Times New Roman" w:hAnsi="Times New Roman" w:eastAsia="仿宋_GB2312"/>
          <w:b/>
          <w:sz w:val="32"/>
          <w:szCs w:val="32"/>
        </w:rPr>
        <w:t>推进制造业数字化转型。</w:t>
      </w:r>
      <w:r>
        <w:rPr>
          <w:rFonts w:hint="eastAsia" w:ascii="Times New Roman" w:hAnsi="Times New Roman" w:eastAsia="仿宋_GB2312"/>
          <w:sz w:val="32"/>
          <w:szCs w:val="32"/>
        </w:rPr>
        <w:t>大力发展工业互联网，推进互联网与制造业融合发展，支持企业建设云制造平台，打造一批制造业数字化转型示范项目。</w:t>
      </w:r>
      <w:r>
        <w:rPr>
          <w:rFonts w:hint="eastAsia" w:ascii="Times New Roman" w:hAnsi="Times New Roman" w:eastAsia="仿宋_GB2312"/>
          <w:sz w:val="32"/>
          <w:szCs w:val="32"/>
          <w:lang w:val="en-US" w:eastAsia="zh-CN"/>
        </w:rPr>
        <w:t>到2025年形成1-2个省内先进水平的综合性工业互联网平台。</w:t>
      </w:r>
      <w:r>
        <w:rPr>
          <w:rFonts w:hint="eastAsia" w:ascii="Times New Roman" w:hAnsi="Times New Roman" w:eastAsia="仿宋_GB2312"/>
          <w:sz w:val="32"/>
          <w:szCs w:val="32"/>
        </w:rPr>
        <w:t>建设</w:t>
      </w:r>
      <w:r>
        <w:rPr>
          <w:rFonts w:hint="eastAsia" w:ascii="Times New Roman" w:hAnsi="Times New Roman" w:eastAsia="仿宋_GB2312"/>
          <w:sz w:val="32"/>
          <w:szCs w:val="32"/>
          <w:lang w:val="en-US" w:eastAsia="zh-CN"/>
        </w:rPr>
        <w:t>创新型</w:t>
      </w:r>
      <w:r>
        <w:rPr>
          <w:rFonts w:hint="eastAsia" w:ascii="Times New Roman" w:hAnsi="Times New Roman" w:eastAsia="仿宋_GB2312"/>
          <w:sz w:val="32"/>
          <w:szCs w:val="32"/>
        </w:rPr>
        <w:t>智慧园区，</w:t>
      </w:r>
      <w:r>
        <w:rPr>
          <w:rFonts w:hint="eastAsia" w:ascii="Times New Roman" w:hAnsi="Times New Roman" w:eastAsia="仿宋_GB2312"/>
          <w:sz w:val="32"/>
          <w:szCs w:val="32"/>
          <w:lang w:val="en-US" w:eastAsia="zh-CN"/>
        </w:rPr>
        <w:t>提升开发区创新能力，争创</w:t>
      </w:r>
      <w:r>
        <w:rPr>
          <w:rFonts w:hint="eastAsia" w:ascii="Times New Roman" w:hAnsi="Times New Roman" w:eastAsia="仿宋_GB2312"/>
          <w:sz w:val="32"/>
          <w:szCs w:val="32"/>
        </w:rPr>
        <w:t>省级示范创新型智慧园区。</w:t>
      </w:r>
      <w:bookmarkStart w:id="37" w:name="_Toc8354"/>
      <w:bookmarkStart w:id="38" w:name="_Toc58928702"/>
    </w:p>
    <w:p w14:paraId="28D15575">
      <w:pPr>
        <w:ind w:firstLine="643" w:firstLineChars="200"/>
        <w:rPr>
          <w:rFonts w:hint="eastAsia" w:ascii="Times New Roman" w:hAnsi="Times New Roman" w:eastAsia="仿宋_GB2312"/>
          <w:sz w:val="32"/>
          <w:szCs w:val="32"/>
        </w:rPr>
      </w:pPr>
      <w:r>
        <w:rPr>
          <w:rFonts w:hint="eastAsia" w:ascii="Times New Roman" w:hAnsi="Times New Roman" w:eastAsia="仿宋_GB2312"/>
          <w:b/>
          <w:sz w:val="32"/>
          <w:szCs w:val="32"/>
        </w:rPr>
        <w:t>推进服务业数字化转型。</w:t>
      </w:r>
      <w:bookmarkEnd w:id="37"/>
      <w:r>
        <w:rPr>
          <w:rFonts w:hint="eastAsia" w:ascii="Times New Roman" w:hAnsi="Times New Roman" w:eastAsia="仿宋_GB2312"/>
          <w:sz w:val="32"/>
          <w:szCs w:val="32"/>
        </w:rPr>
        <w:t>推进旅游、物流、商贸零售等服务业重点领域数字化转型。</w:t>
      </w:r>
      <w:r>
        <w:rPr>
          <w:rFonts w:hint="eastAsia" w:ascii="Times New Roman" w:hAnsi="Times New Roman" w:eastAsia="仿宋_GB2312"/>
          <w:sz w:val="32"/>
          <w:szCs w:val="32"/>
          <w:lang w:val="en-US" w:eastAsia="zh-CN"/>
        </w:rPr>
        <w:t>开发旅游APP</w:t>
      </w:r>
      <w:r>
        <w:rPr>
          <w:rFonts w:hint="eastAsia" w:ascii="Times New Roman" w:hAnsi="Times New Roman" w:eastAsia="仿宋_GB2312"/>
          <w:sz w:val="32"/>
          <w:szCs w:val="32"/>
        </w:rPr>
        <w:t>推广应用，打造多元化智慧旅游服务，实现全市3A级以上景区智慧旅游</w:t>
      </w:r>
      <w:r>
        <w:rPr>
          <w:rFonts w:hint="eastAsia" w:ascii="Times New Roman" w:hAnsi="Times New Roman" w:eastAsia="仿宋_GB2312"/>
          <w:sz w:val="32"/>
          <w:szCs w:val="32"/>
          <w:lang w:val="en-US" w:eastAsia="zh-CN"/>
        </w:rPr>
        <w:t>服务</w:t>
      </w:r>
      <w:r>
        <w:rPr>
          <w:rFonts w:hint="eastAsia" w:ascii="Times New Roman" w:hAnsi="Times New Roman" w:eastAsia="仿宋_GB2312"/>
          <w:sz w:val="32"/>
          <w:szCs w:val="32"/>
        </w:rPr>
        <w:t>全覆盖。提升仓储物流数字化水平，培育智慧物流共享模式。积极培育电子商务、跨境电商、数字文娱、在线经济等新业态新模式。加快电商园区建设，</w:t>
      </w:r>
      <w:r>
        <w:rPr>
          <w:rFonts w:hint="eastAsia" w:ascii="Times New Roman" w:hAnsi="Times New Roman" w:eastAsia="仿宋_GB2312"/>
          <w:sz w:val="32"/>
          <w:szCs w:val="32"/>
          <w:lang w:val="en-US" w:eastAsia="zh-CN"/>
        </w:rPr>
        <w:t>打造省内有影响力的</w:t>
      </w:r>
      <w:r>
        <w:rPr>
          <w:rFonts w:hint="eastAsia" w:ascii="Times New Roman" w:hAnsi="Times New Roman" w:eastAsia="仿宋_GB2312"/>
          <w:sz w:val="32"/>
          <w:szCs w:val="32"/>
        </w:rPr>
        <w:t>电商公共服务中心。</w:t>
      </w:r>
      <w:bookmarkEnd w:id="38"/>
    </w:p>
    <w:p w14:paraId="0806492A">
      <w:pPr>
        <w:ind w:firstLine="643" w:firstLineChars="200"/>
        <w:rPr>
          <w:rFonts w:hint="eastAsia" w:ascii="Times New Roman" w:hAnsi="Times New Roman" w:eastAsia="仿宋_GB2312"/>
          <w:sz w:val="32"/>
          <w:szCs w:val="32"/>
          <w:lang w:val="en-US" w:eastAsia="zh-CN"/>
        </w:rPr>
      </w:pPr>
      <w:bookmarkStart w:id="39" w:name="_Toc718"/>
      <w:bookmarkStart w:id="40" w:name="_Toc58928703"/>
      <w:r>
        <w:rPr>
          <w:rFonts w:hint="eastAsia" w:ascii="Times New Roman" w:hAnsi="Times New Roman" w:eastAsia="仿宋_GB2312"/>
          <w:b/>
          <w:sz w:val="32"/>
          <w:szCs w:val="32"/>
        </w:rPr>
        <w:t>推进农业数字化转型。</w:t>
      </w:r>
      <w:bookmarkEnd w:id="39"/>
      <w:r>
        <w:rPr>
          <w:rFonts w:hint="eastAsia" w:ascii="Times New Roman" w:hAnsi="Times New Roman" w:eastAsia="仿宋_GB2312"/>
          <w:sz w:val="32"/>
          <w:szCs w:val="32"/>
          <w:lang w:val="en-US" w:eastAsia="zh-CN"/>
        </w:rPr>
        <w:t>推进信息技术在种养殖等领域运用，</w:t>
      </w:r>
      <w:r>
        <w:rPr>
          <w:rFonts w:hint="eastAsia" w:ascii="Times New Roman" w:hAnsi="Times New Roman" w:eastAsia="仿宋_GB2312"/>
          <w:sz w:val="32"/>
          <w:szCs w:val="32"/>
        </w:rPr>
        <w:t>推广利用智慧农业云平台等农业物联网技术</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提升农业生产数字化智能化水平</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开展大田物联网建设试点，</w:t>
      </w:r>
      <w:r>
        <w:rPr>
          <w:rFonts w:hint="eastAsia" w:ascii="Times New Roman" w:hAnsi="Times New Roman" w:eastAsia="仿宋_GB2312"/>
          <w:sz w:val="32"/>
          <w:szCs w:val="32"/>
        </w:rPr>
        <w:t>建设农业物联网示范点</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提升益农信息社在农技推广、农村公共服务、农产品销售等方面的服务水平</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健全农产品质量安全监管追溯体系，开展农产品信息发布查询机制试点，实现农产品可追溯、可监管。</w:t>
      </w:r>
      <w:bookmarkEnd w:id="40"/>
      <w:r>
        <w:rPr>
          <w:rFonts w:hint="eastAsia" w:ascii="Times New Roman" w:hAnsi="Times New Roman" w:eastAsia="仿宋_GB2312"/>
          <w:sz w:val="32"/>
          <w:szCs w:val="32"/>
        </w:rPr>
        <w:t>大力发展</w:t>
      </w:r>
      <w:r>
        <w:rPr>
          <w:rFonts w:ascii="Times New Roman" w:hAnsi="Times New Roman" w:eastAsia="仿宋_GB2312"/>
          <w:sz w:val="32"/>
          <w:szCs w:val="32"/>
        </w:rPr>
        <w:t>“互联网+农村物流”</w:t>
      </w:r>
      <w:r>
        <w:rPr>
          <w:rFonts w:hint="eastAsia" w:ascii="Times New Roman" w:hAnsi="Times New Roman" w:eastAsia="仿宋_GB2312"/>
          <w:sz w:val="32"/>
          <w:szCs w:val="32"/>
        </w:rPr>
        <w:t>，</w:t>
      </w:r>
      <w:r>
        <w:rPr>
          <w:rFonts w:ascii="Times New Roman" w:hAnsi="Times New Roman" w:eastAsia="仿宋_GB2312"/>
          <w:sz w:val="32"/>
          <w:szCs w:val="32"/>
        </w:rPr>
        <w:t>加快</w:t>
      </w:r>
      <w:r>
        <w:rPr>
          <w:rFonts w:hint="eastAsia" w:ascii="Times New Roman" w:hAnsi="Times New Roman" w:eastAsia="仿宋_GB2312"/>
          <w:sz w:val="32"/>
          <w:szCs w:val="32"/>
          <w:lang w:val="en-US" w:eastAsia="zh-CN"/>
        </w:rPr>
        <w:t>完善</w:t>
      </w:r>
      <w:r>
        <w:rPr>
          <w:rFonts w:ascii="Times New Roman" w:hAnsi="Times New Roman" w:eastAsia="仿宋_GB2312"/>
          <w:sz w:val="32"/>
          <w:szCs w:val="32"/>
        </w:rPr>
        <w:t>农</w:t>
      </w:r>
      <w:r>
        <w:rPr>
          <w:rFonts w:hint="eastAsia" w:ascii="Times New Roman" w:hAnsi="Times New Roman" w:eastAsia="仿宋_GB2312"/>
          <w:sz w:val="32"/>
          <w:szCs w:val="32"/>
        </w:rPr>
        <w:t>产品储藏、运输和冷链物流体系</w:t>
      </w:r>
      <w:r>
        <w:rPr>
          <w:rFonts w:hint="eastAsia" w:ascii="Times New Roman" w:hAnsi="Times New Roman" w:eastAsia="仿宋_GB2312"/>
          <w:sz w:val="32"/>
          <w:szCs w:val="32"/>
          <w:lang w:val="en-US" w:eastAsia="zh-CN"/>
        </w:rPr>
        <w:t>。</w:t>
      </w:r>
    </w:p>
    <w:p w14:paraId="5C43A86D">
      <w:pPr>
        <w:ind w:firstLine="643" w:firstLineChars="200"/>
        <w:rPr>
          <w:rFonts w:hint="eastAsia" w:ascii="Times New Roman" w:hAnsi="Times New Roman" w:eastAsia="仿宋_GB2312"/>
          <w:sz w:val="32"/>
          <w:szCs w:val="32"/>
        </w:rPr>
      </w:pPr>
      <w:r>
        <w:rPr>
          <w:rFonts w:hint="eastAsia" w:ascii="Times New Roman" w:hAnsi="Times New Roman" w:eastAsia="仿宋_GB2312"/>
          <w:b/>
          <w:sz w:val="32"/>
          <w:szCs w:val="32"/>
          <w:lang w:val="en-US" w:eastAsia="zh-CN"/>
        </w:rPr>
        <w:t>提升数字治理能力</w:t>
      </w:r>
      <w:r>
        <w:rPr>
          <w:rFonts w:hint="eastAsia" w:ascii="Times New Roman" w:hAnsi="Times New Roman" w:eastAsia="仿宋_GB2312"/>
          <w:b/>
          <w:sz w:val="32"/>
          <w:szCs w:val="32"/>
          <w:lang w:eastAsia="zh-CN"/>
        </w:rPr>
        <w:t>。</w:t>
      </w:r>
      <w:r>
        <w:rPr>
          <w:rFonts w:hint="eastAsia" w:ascii="Times New Roman" w:hAnsi="Times New Roman" w:eastAsia="仿宋_GB2312"/>
          <w:sz w:val="32"/>
          <w:szCs w:val="32"/>
        </w:rPr>
        <w:t>加快建设“数据中台”“城市大脑”</w:t>
      </w:r>
      <w:r>
        <w:rPr>
          <w:rFonts w:hint="eastAsia" w:ascii="Times New Roman" w:hAnsi="Times New Roman" w:eastAsia="仿宋_GB2312"/>
          <w:sz w:val="32"/>
          <w:szCs w:val="32"/>
          <w:lang w:eastAsia="zh-CN"/>
        </w:rPr>
        <w:t>，</w:t>
      </w:r>
      <w:r>
        <w:rPr>
          <w:rFonts w:hint="eastAsia" w:ascii="仿宋_GB2312" w:hAnsi="Times New Roman" w:eastAsia="仿宋_GB2312"/>
          <w:sz w:val="32"/>
          <w:szCs w:val="32"/>
        </w:rPr>
        <w:t>加强数字社会、数字政府建设，提升公共服务社会治理等数字化智能化水平。</w:t>
      </w:r>
      <w:r>
        <w:rPr>
          <w:rFonts w:hint="eastAsia" w:ascii="Times New Roman" w:hAnsi="Times New Roman" w:eastAsia="仿宋_GB2312"/>
          <w:sz w:val="32"/>
          <w:szCs w:val="32"/>
        </w:rPr>
        <w:t>完善政务云基础体系，建设“一网一图一库”，实现跨部门、跨区域、跨层级、跨系统的数据交换与共享</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深化与三大运营商合作，提升移动终端普及率和网络接入覆盖率</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加快部署基于IPv6的下一代互联网设施。</w:t>
      </w:r>
      <w:r>
        <w:rPr>
          <w:rFonts w:hint="eastAsia" w:ascii="Times New Roman" w:hAnsi="Times New Roman" w:eastAsia="仿宋_GB2312"/>
          <w:sz w:val="32"/>
          <w:szCs w:val="32"/>
          <w:lang w:val="en-US" w:eastAsia="zh-CN"/>
        </w:rPr>
        <w:t>加快桐城大数据中心等</w:t>
      </w:r>
      <w:r>
        <w:rPr>
          <w:rFonts w:hint="eastAsia" w:ascii="Times New Roman" w:hAnsi="Times New Roman" w:eastAsia="仿宋_GB2312"/>
          <w:sz w:val="32"/>
          <w:szCs w:val="32"/>
        </w:rPr>
        <w:t>智慧城市基础设施建设，推进应急、公安、安监、交通、气象、救援、地质灾害、水利、城市管理等领域数据实时互联和共享，建设一体化应急指挥系统，提升</w:t>
      </w:r>
      <w:r>
        <w:rPr>
          <w:rFonts w:hint="eastAsia" w:ascii="Times New Roman" w:hAnsi="Times New Roman" w:eastAsia="仿宋_GB2312"/>
          <w:sz w:val="32"/>
          <w:szCs w:val="32"/>
          <w:lang w:val="en-US" w:eastAsia="zh-CN"/>
        </w:rPr>
        <w:t>城市管理</w:t>
      </w:r>
      <w:r>
        <w:rPr>
          <w:rFonts w:hint="eastAsia" w:ascii="Times New Roman" w:hAnsi="Times New Roman" w:eastAsia="仿宋_GB2312"/>
          <w:sz w:val="32"/>
          <w:szCs w:val="32"/>
        </w:rPr>
        <w:t>水平。推进民生领域数字化服务，积极发展智慧医疗、</w:t>
      </w:r>
      <w:r>
        <w:rPr>
          <w:rFonts w:hint="eastAsia" w:ascii="Times New Roman" w:hAnsi="Times New Roman" w:eastAsia="仿宋_GB2312"/>
          <w:sz w:val="32"/>
          <w:szCs w:val="32"/>
          <w:lang w:val="en-US" w:eastAsia="zh-CN"/>
        </w:rPr>
        <w:t>智慧教育、</w:t>
      </w:r>
      <w:r>
        <w:rPr>
          <w:rFonts w:hint="eastAsia" w:ascii="Times New Roman" w:hAnsi="Times New Roman" w:eastAsia="仿宋_GB2312"/>
          <w:sz w:val="32"/>
          <w:szCs w:val="32"/>
        </w:rPr>
        <w:t>智慧养老、</w:t>
      </w:r>
      <w:r>
        <w:rPr>
          <w:rFonts w:hint="eastAsia" w:ascii="Times New Roman" w:hAnsi="Times New Roman" w:eastAsia="仿宋_GB2312"/>
          <w:sz w:val="32"/>
          <w:szCs w:val="32"/>
          <w:lang w:val="en-US" w:eastAsia="zh-CN"/>
        </w:rPr>
        <w:t>智慧旅游、</w:t>
      </w:r>
      <w:r>
        <w:rPr>
          <w:rFonts w:hint="eastAsia" w:ascii="Times New Roman" w:hAnsi="Times New Roman" w:eastAsia="仿宋_GB2312"/>
          <w:sz w:val="32"/>
          <w:szCs w:val="32"/>
        </w:rPr>
        <w:t>智慧交通、智慧社区</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智慧信用和数字档案馆</w:t>
      </w:r>
      <w:r>
        <w:rPr>
          <w:rFonts w:hint="eastAsia" w:ascii="Times New Roman" w:hAnsi="Times New Roman" w:eastAsia="仿宋_GB2312"/>
          <w:sz w:val="32"/>
          <w:szCs w:val="32"/>
        </w:rPr>
        <w:t>等。</w:t>
      </w:r>
    </w:p>
    <w:p w14:paraId="0AAEBFC9">
      <w:pPr>
        <w:rPr>
          <w:rFonts w:hint="eastAsia"/>
          <w:lang w:val="en-US" w:eastAsia="zh-CN"/>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4"/>
      </w:tblGrid>
      <w:tr w14:paraId="2AC2A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8414" w:type="dxa"/>
          </w:tcPr>
          <w:p w14:paraId="66F8C15B">
            <w:pPr>
              <w:jc w:val="center"/>
              <w:rPr>
                <w:rFonts w:ascii="黑体" w:hAnsi="黑体" w:eastAsia="黑体" w:cs="宋体_x0004_fal"/>
                <w:color w:val="auto"/>
                <w:sz w:val="28"/>
                <w:szCs w:val="28"/>
              </w:rPr>
            </w:pPr>
            <w:r>
              <w:rPr>
                <w:rFonts w:hint="eastAsia" w:ascii="楷体" w:hAnsi="楷体" w:eastAsia="楷体" w:cs="仿宋_GB2312"/>
                <w:b/>
                <w:color w:val="auto"/>
                <w:sz w:val="30"/>
                <w:szCs w:val="30"/>
                <w:lang w:val="zh-CN"/>
              </w:rPr>
              <w:t>专栏</w:t>
            </w:r>
            <w:r>
              <w:rPr>
                <w:rFonts w:hint="eastAsia" w:ascii="楷体" w:hAnsi="楷体" w:eastAsia="楷体" w:cs="仿宋_GB2312"/>
                <w:b/>
                <w:color w:val="auto"/>
                <w:sz w:val="30"/>
                <w:szCs w:val="30"/>
                <w:lang w:val="en-US" w:eastAsia="zh-CN"/>
              </w:rPr>
              <w:t>8</w:t>
            </w:r>
            <w:r>
              <w:rPr>
                <w:rFonts w:hint="eastAsia" w:ascii="楷体" w:hAnsi="楷体" w:eastAsia="楷体" w:cs="仿宋_GB2312"/>
                <w:b/>
                <w:color w:val="auto"/>
                <w:sz w:val="30"/>
                <w:szCs w:val="30"/>
                <w:lang w:val="zh-CN"/>
              </w:rPr>
              <w:t>：</w:t>
            </w:r>
            <w:r>
              <w:rPr>
                <w:rFonts w:hint="eastAsia" w:ascii="楷体" w:hAnsi="楷体" w:eastAsia="楷体" w:cs="楷体"/>
                <w:b/>
                <w:bCs w:val="0"/>
                <w:color w:val="auto"/>
                <w:sz w:val="30"/>
                <w:szCs w:val="30"/>
                <w:lang w:val="en-US" w:eastAsia="zh-CN"/>
              </w:rPr>
              <w:t>数字桐城重点</w:t>
            </w:r>
            <w:r>
              <w:rPr>
                <w:rFonts w:hint="eastAsia" w:ascii="楷体" w:hAnsi="楷体" w:eastAsia="楷体" w:cs="楷体"/>
                <w:b/>
                <w:bCs w:val="0"/>
                <w:color w:val="auto"/>
                <w:sz w:val="30"/>
                <w:szCs w:val="30"/>
              </w:rPr>
              <w:t>项目</w:t>
            </w:r>
          </w:p>
          <w:p w14:paraId="44B8445C">
            <w:pPr>
              <w:spacing w:line="400" w:lineRule="exact"/>
              <w:ind w:firstLine="562" w:firstLineChars="200"/>
              <w:rPr>
                <w:rFonts w:hint="eastAsia" w:ascii="仿宋_GB2312" w:hAnsi="Times New Roman" w:eastAsia="仿宋_GB2312"/>
                <w:bCs/>
                <w:color w:val="000000" w:themeColor="text1"/>
                <w:sz w:val="28"/>
                <w:szCs w:val="28"/>
                <w:lang w:eastAsia="zh-CN"/>
              </w:rPr>
            </w:pPr>
            <w:r>
              <w:rPr>
                <w:rFonts w:hint="eastAsia" w:ascii="仿宋_GB2312" w:eastAsia="仿宋_GB2312"/>
                <w:b/>
                <w:sz w:val="28"/>
                <w:szCs w:val="28"/>
                <w:lang w:eastAsia="zh-CN"/>
              </w:rPr>
              <w:t>政务云大数据平台。</w:t>
            </w:r>
            <w:r>
              <w:rPr>
                <w:rFonts w:hint="eastAsia" w:ascii="仿宋_GB2312" w:hAnsi="Times New Roman" w:eastAsia="仿宋_GB2312"/>
                <w:bCs/>
                <w:color w:val="000000" w:themeColor="text1"/>
                <w:sz w:val="28"/>
                <w:szCs w:val="28"/>
                <w:lang w:eastAsia="zh-CN"/>
              </w:rPr>
              <w:t>对接省市级政务云平台接口，推动政务云垂直层级数据共享。试行数字类行政服务、惠企服务、税务服务、公共信息发布、产业服务等功能。</w:t>
            </w:r>
          </w:p>
          <w:p w14:paraId="7A7EB38E">
            <w:pPr>
              <w:spacing w:line="400" w:lineRule="exact"/>
              <w:ind w:firstLine="562" w:firstLineChars="200"/>
              <w:rPr>
                <w:rFonts w:hint="eastAsia" w:ascii="仿宋_GB2312" w:hAnsi="Times New Roman" w:eastAsia="仿宋_GB2312"/>
                <w:bCs/>
                <w:color w:val="000000" w:themeColor="text1"/>
                <w:sz w:val="28"/>
                <w:szCs w:val="28"/>
                <w:lang w:eastAsia="zh-CN"/>
              </w:rPr>
            </w:pPr>
            <w:r>
              <w:rPr>
                <w:rFonts w:hint="eastAsia" w:ascii="仿宋_GB2312" w:eastAsia="仿宋_GB2312"/>
                <w:b/>
                <w:sz w:val="28"/>
                <w:szCs w:val="28"/>
                <w:lang w:val="en-US" w:eastAsia="zh-CN"/>
              </w:rPr>
              <w:t>工业互联网</w:t>
            </w:r>
            <w:r>
              <w:rPr>
                <w:rFonts w:hint="eastAsia" w:ascii="仿宋_GB2312" w:eastAsia="仿宋_GB2312"/>
                <w:b/>
                <w:sz w:val="28"/>
                <w:szCs w:val="28"/>
                <w:lang w:eastAsia="zh-CN"/>
              </w:rPr>
              <w:t>。</w:t>
            </w:r>
            <w:r>
              <w:rPr>
                <w:rFonts w:hint="eastAsia" w:ascii="仿宋_GB2312" w:hAnsi="Times New Roman" w:eastAsia="仿宋_GB2312"/>
                <w:bCs/>
                <w:color w:val="000000" w:themeColor="text1"/>
                <w:sz w:val="28"/>
                <w:szCs w:val="28"/>
                <w:lang w:eastAsia="zh-CN"/>
              </w:rPr>
              <w:t>建设工业解决方案共享和企业合作对接平台，为有需求的企业提供企业大数据和工业互联网服务。通过采集数据，运用算力和算法、人工智能等技术对大数据进行深度分析挖掘，进而对工业生产进行多维度分析、智能化决策，达到提高效率、提升品质、降低能耗等目的。</w:t>
            </w:r>
          </w:p>
          <w:p w14:paraId="2CB06625">
            <w:pPr>
              <w:spacing w:line="400" w:lineRule="exact"/>
              <w:ind w:firstLine="562" w:firstLineChars="200"/>
              <w:rPr>
                <w:rFonts w:ascii="仿宋_GB2312" w:hAnsi="宋体" w:eastAsia="仿宋_GB2312" w:cs="宋体"/>
                <w:spacing w:val="-14"/>
                <w:sz w:val="28"/>
                <w:szCs w:val="28"/>
                <w:lang w:val="zh-CN"/>
              </w:rPr>
            </w:pPr>
            <w:r>
              <w:rPr>
                <w:rFonts w:hint="eastAsia" w:ascii="仿宋_GB2312" w:eastAsia="仿宋_GB2312"/>
                <w:b/>
                <w:sz w:val="28"/>
                <w:szCs w:val="28"/>
                <w:lang w:val="en-US" w:eastAsia="zh-CN"/>
              </w:rPr>
              <w:t>智慧园区。</w:t>
            </w:r>
            <w:r>
              <w:rPr>
                <w:rFonts w:hint="eastAsia" w:ascii="仿宋_GB2312" w:hAnsi="Times New Roman" w:eastAsia="仿宋_GB2312"/>
                <w:bCs/>
                <w:color w:val="000000" w:themeColor="text1"/>
                <w:sz w:val="28"/>
                <w:szCs w:val="28"/>
                <w:lang w:val="en-US" w:eastAsia="zh-CN"/>
              </w:rPr>
              <w:t>加快园区</w:t>
            </w:r>
            <w:r>
              <w:rPr>
                <w:rFonts w:hint="eastAsia" w:ascii="仿宋_GB2312" w:hAnsi="Times New Roman" w:eastAsia="仿宋_GB2312"/>
                <w:bCs/>
                <w:color w:val="000000" w:themeColor="text1"/>
                <w:sz w:val="28"/>
                <w:szCs w:val="28"/>
                <w:lang w:eastAsia="zh-CN"/>
              </w:rPr>
              <w:t>5G站点建设，推进“智慧政务平台”协同工程，建设权威信息发布平台和信息交互平台等，推进“惠企服务”创新工程，建设智慧招商系统，建立项目数据库。建立高端人才、技术工人需求数据库，建立人才引进、使用、政策落实等专项管理系统；构建线上线下技术转移平台。构建数字化企业系统，建设智慧物流中心等。建立</w:t>
            </w:r>
            <w:r>
              <w:rPr>
                <w:rFonts w:hint="eastAsia" w:ascii="仿宋_GB2312" w:hAnsi="Times New Roman" w:eastAsia="仿宋_GB2312"/>
                <w:bCs/>
                <w:color w:val="000000" w:themeColor="text1"/>
                <w:sz w:val="28"/>
                <w:szCs w:val="28"/>
                <w:lang w:val="en-US" w:eastAsia="zh-CN"/>
              </w:rPr>
              <w:t>经开区</w:t>
            </w:r>
            <w:r>
              <w:rPr>
                <w:rFonts w:hint="eastAsia" w:ascii="仿宋_GB2312" w:hAnsi="Times New Roman" w:eastAsia="仿宋_GB2312"/>
                <w:bCs/>
                <w:color w:val="000000" w:themeColor="text1"/>
                <w:sz w:val="28"/>
                <w:szCs w:val="28"/>
                <w:lang w:eastAsia="zh-CN"/>
              </w:rPr>
              <w:t>“智慧安全”试点工程，建立安全监测应急管理系统、环境保护监测预警系统、能源综合管理信息系统等。</w:t>
            </w:r>
          </w:p>
        </w:tc>
      </w:tr>
    </w:tbl>
    <w:p w14:paraId="0AD9F825">
      <w:pPr>
        <w:rPr>
          <w:rFonts w:ascii="楷体_GB2312" w:hAnsi="楷体_GB2312" w:eastAsia="楷体_GB2312"/>
          <w:sz w:val="32"/>
          <w:szCs w:val="40"/>
        </w:rPr>
      </w:pPr>
      <w:r>
        <w:br w:type="page"/>
      </w:r>
    </w:p>
    <w:p w14:paraId="2A30665A">
      <w:pPr>
        <w:pStyle w:val="3"/>
        <w:spacing w:before="100" w:beforeAutospacing="1" w:after="100" w:afterAutospacing="1"/>
        <w:jc w:val="center"/>
        <w:rPr>
          <w:rFonts w:eastAsia="方正小标宋简体"/>
        </w:rPr>
      </w:pPr>
      <w:bookmarkStart w:id="41" w:name="_Toc23919"/>
      <w:bookmarkStart w:id="42" w:name="_Toc53003433"/>
      <w:r>
        <w:rPr>
          <w:rFonts w:hint="eastAsia" w:eastAsia="方正小标宋简体"/>
        </w:rPr>
        <w:t>坚持扩大内需，在构建新发展格局中实现更大作为</w:t>
      </w:r>
      <w:bookmarkEnd w:id="41"/>
      <w:bookmarkEnd w:id="42"/>
    </w:p>
    <w:p w14:paraId="0476D0DE">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牢牢把握扩大内需这个战略基点，把实施扩大内需战略同深化供给侧结构性改革有机结合起来，以创新驱动、高质量供给引领和创造新需求，推动提振消费与扩大投资相互促进，</w:t>
      </w:r>
      <w:r>
        <w:rPr>
          <w:rFonts w:ascii="Times New Roman" w:hAnsi="Times New Roman" w:eastAsia="仿宋_GB2312"/>
          <w:sz w:val="32"/>
          <w:szCs w:val="32"/>
        </w:rPr>
        <w:t>积极参与国内国际双循环的新发展格局建设。</w:t>
      </w:r>
    </w:p>
    <w:p w14:paraId="04DDD248">
      <w:pPr>
        <w:spacing w:before="100" w:beforeAutospacing="1" w:after="100" w:afterAutospacing="1"/>
        <w:jc w:val="center"/>
        <w:outlineLvl w:val="1"/>
        <w:rPr>
          <w:rFonts w:ascii="Times New Roman" w:hAnsi="Times New Roman" w:eastAsia="黑体"/>
          <w:sz w:val="32"/>
          <w:szCs w:val="32"/>
        </w:rPr>
      </w:pPr>
      <w:bookmarkStart w:id="43" w:name="_Toc53003445"/>
      <w:bookmarkStart w:id="44" w:name="_Toc32154"/>
      <w:r>
        <w:rPr>
          <w:rFonts w:ascii="Times New Roman" w:hAnsi="Times New Roman" w:eastAsia="黑体"/>
          <w:sz w:val="32"/>
          <w:szCs w:val="32"/>
        </w:rPr>
        <w:t>第一节</w:t>
      </w:r>
      <w:r>
        <w:rPr>
          <w:rFonts w:hint="eastAsia" w:ascii="Times New Roman" w:hAnsi="Times New Roman" w:eastAsia="黑体"/>
          <w:sz w:val="32"/>
          <w:szCs w:val="32"/>
          <w:lang w:val="en-US" w:eastAsia="zh-CN"/>
        </w:rPr>
        <w:t xml:space="preserve"> </w:t>
      </w:r>
      <w:r>
        <w:rPr>
          <w:rFonts w:ascii="Times New Roman" w:hAnsi="Times New Roman" w:eastAsia="黑体"/>
          <w:sz w:val="32"/>
          <w:szCs w:val="32"/>
        </w:rPr>
        <w:t>精准扩大有效投资</w:t>
      </w:r>
      <w:bookmarkEnd w:id="43"/>
      <w:bookmarkEnd w:id="44"/>
    </w:p>
    <w:p w14:paraId="6FA69C2A">
      <w:pPr>
        <w:spacing w:line="360" w:lineRule="auto"/>
        <w:ind w:firstLine="643" w:firstLineChars="200"/>
        <w:rPr>
          <w:rFonts w:ascii="Times New Roman" w:hAnsi="Times New Roman" w:eastAsia="仿宋_GB2312"/>
          <w:sz w:val="32"/>
          <w:szCs w:val="32"/>
        </w:rPr>
      </w:pPr>
      <w:r>
        <w:rPr>
          <w:rFonts w:ascii="Times New Roman" w:hAnsi="Times New Roman" w:eastAsia="仿宋_GB2312"/>
          <w:b/>
          <w:bCs/>
          <w:sz w:val="32"/>
          <w:szCs w:val="32"/>
        </w:rPr>
        <w:t>聚焦“两新一重”项目投资。</w:t>
      </w:r>
      <w:r>
        <w:rPr>
          <w:rFonts w:ascii="Times New Roman" w:hAnsi="Times New Roman" w:eastAsia="仿宋_GB2312"/>
          <w:sz w:val="32"/>
          <w:szCs w:val="32"/>
        </w:rPr>
        <w:t>强化政府投资引导带动，完善重大项目建设和储备机制，加快实施一批打基础、利长远、补短板的重大项目，强化要素配置向“两新一重”等重大项目倾斜</w:t>
      </w:r>
      <w:r>
        <w:rPr>
          <w:rFonts w:hint="eastAsia" w:ascii="Times New Roman" w:hAnsi="Times New Roman" w:eastAsia="仿宋_GB2312"/>
          <w:sz w:val="32"/>
          <w:szCs w:val="32"/>
        </w:rPr>
        <w:t>，积极谋划争取实施一批中央预算内投资项目</w:t>
      </w:r>
      <w:r>
        <w:rPr>
          <w:rFonts w:ascii="Times New Roman" w:hAnsi="Times New Roman" w:eastAsia="仿宋_GB2312"/>
          <w:sz w:val="32"/>
          <w:szCs w:val="32"/>
        </w:rPr>
        <w:t>。加强新型基础设施项目投资，进一步完善5G网络、智能平台、物联网等新一代信息基础设施建设。加快布局人工智能平台、区块链网络、一体化大数据中心。推进新型城镇化建设，加大公共卫生设施、应急物资储备体系、市政设施等重点领域投资。加快实施城镇老旧小区改造，加快推进既有住宅增设电梯、老旧小区建筑节能改造和公共区域品质提升。加</w:t>
      </w:r>
      <w:r>
        <w:rPr>
          <w:rFonts w:hint="eastAsia" w:ascii="Times New Roman" w:hAnsi="Times New Roman" w:eastAsia="仿宋_GB2312"/>
          <w:sz w:val="32"/>
          <w:szCs w:val="32"/>
        </w:rPr>
        <w:t>快</w:t>
      </w:r>
      <w:r>
        <w:rPr>
          <w:rFonts w:ascii="Times New Roman" w:hAnsi="Times New Roman" w:eastAsia="仿宋_GB2312"/>
          <w:sz w:val="32"/>
          <w:szCs w:val="32"/>
        </w:rPr>
        <w:t>智慧停车、充电桩等基础设施项目建设。聚焦经济社会发展短板弱项，围绕防洪安全、供水安全、关键通道、生态修复等领域加大投资</w:t>
      </w:r>
      <w:r>
        <w:rPr>
          <w:rFonts w:hint="eastAsia" w:ascii="Times New Roman" w:hAnsi="Times New Roman" w:eastAsia="仿宋_GB2312"/>
          <w:sz w:val="32"/>
          <w:szCs w:val="32"/>
        </w:rPr>
        <w:t>，建成抽水蓄能电站、实施引江济淮桐城段、大沙河治理、鲁</w:t>
      </w:r>
      <w:r>
        <w:rPr>
          <w:rFonts w:hint="eastAsia" w:ascii="宋体" w:hAnsi="宋体" w:cs="宋体"/>
          <w:sz w:val="32"/>
          <w:szCs w:val="32"/>
        </w:rPr>
        <w:t>谼</w:t>
      </w:r>
      <w:r>
        <w:rPr>
          <w:rFonts w:hint="eastAsia" w:ascii="Times New Roman" w:hAnsi="Times New Roman" w:eastAsia="仿宋_GB2312"/>
          <w:sz w:val="32"/>
          <w:szCs w:val="32"/>
        </w:rPr>
        <w:t>山水库、老城海绵化改造等一批重大工程项目</w:t>
      </w:r>
      <w:r>
        <w:rPr>
          <w:rFonts w:ascii="Times New Roman" w:hAnsi="Times New Roman" w:eastAsia="仿宋_GB2312"/>
          <w:sz w:val="32"/>
          <w:szCs w:val="32"/>
        </w:rPr>
        <w:t>。</w:t>
      </w:r>
    </w:p>
    <w:p w14:paraId="0DD4D0C6">
      <w:pPr>
        <w:spacing w:line="360" w:lineRule="auto"/>
        <w:ind w:firstLine="643" w:firstLineChars="200"/>
        <w:rPr>
          <w:rFonts w:ascii="Times New Roman" w:hAnsi="Times New Roman" w:eastAsia="仿宋_GB2312"/>
          <w:bCs/>
          <w:sz w:val="32"/>
          <w:szCs w:val="32"/>
        </w:rPr>
      </w:pPr>
      <w:r>
        <w:rPr>
          <w:rFonts w:ascii="Times New Roman" w:hAnsi="Times New Roman" w:eastAsia="仿宋_GB2312"/>
          <w:b/>
          <w:bCs/>
          <w:sz w:val="32"/>
          <w:szCs w:val="32"/>
        </w:rPr>
        <w:t>加大先进制造业投资。</w:t>
      </w:r>
      <w:r>
        <w:rPr>
          <w:rFonts w:ascii="Times New Roman" w:hAnsi="Times New Roman" w:eastAsia="仿宋_GB2312"/>
          <w:bCs/>
          <w:sz w:val="32"/>
          <w:szCs w:val="32"/>
        </w:rPr>
        <w:t>推动政府与社会资本合作，增强先进制造业投资力度，突破重点领域重大装备和技术瓶颈制约，每年实施一批重大产业化项目。支持改造提升优势传统产业，切实发挥工业企业技术改造奖励政策导向作用，引导企业加大投入进行智能化、绿色化改造升级。加大金融支持力度，积极开发支持战略性新兴产业、先进制造业和科技创新的金融产品，提高制造业中长期贷款和信用贷款占比，落实有扶有控差异化信贷政策。鼓励保险资金通过市场化方式投资产业基金，加大对战略性新兴产业、先进制造业的支持力度。</w:t>
      </w:r>
    </w:p>
    <w:p w14:paraId="622159DB">
      <w:pPr>
        <w:ind w:firstLine="643" w:firstLineChars="200"/>
        <w:rPr>
          <w:rFonts w:ascii="Times New Roman" w:hAnsi="Times New Roman" w:eastAsia="仿宋_GB2312"/>
          <w:sz w:val="32"/>
          <w:szCs w:val="32"/>
        </w:rPr>
      </w:pPr>
      <w:r>
        <w:rPr>
          <w:rFonts w:ascii="Times New Roman" w:hAnsi="Times New Roman" w:eastAsia="仿宋_GB2312"/>
          <w:b/>
          <w:bCs/>
          <w:sz w:val="32"/>
          <w:szCs w:val="32"/>
        </w:rPr>
        <w:t>激发民间投资活力。</w:t>
      </w:r>
      <w:r>
        <w:rPr>
          <w:rFonts w:ascii="Times New Roman" w:hAnsi="Times New Roman" w:eastAsia="仿宋_GB2312"/>
          <w:sz w:val="32"/>
          <w:szCs w:val="32"/>
        </w:rPr>
        <w:t>切实拓展民间投资空间，坚持市场准入对各类投资主体公开透明、一视同仁，支持民间资本进入法律、法规未明确禁止准入的行业和领域，享受与其他各类投资主体同等的市场准入标准和优惠政策。深化审批制度改革，规范政府对企业投资项目核准备案行为，清理民间资本准入不合理限制。继续推进“放管服”改革，营造“四最”营商环境，加快推进“不见面审批(服务) ”和“一网、一门、一次”改革，全面实施“多证合一、一照一码”，开展投资项目区域评价、多评合一。全面落实研发费用加计扣除、阶段性降低社保缴费费率、援企稳岗补贴等优惠政策。围绕企业生产经营活动，进一步降低企业制度性交易、社保、用能等成本。</w:t>
      </w:r>
    </w:p>
    <w:p w14:paraId="2F7C249D">
      <w:pPr>
        <w:ind w:firstLine="643" w:firstLineChars="200"/>
        <w:rPr>
          <w:rFonts w:ascii="Times New Roman" w:hAnsi="Times New Roman" w:eastAsia="仿宋_GB2312"/>
          <w:sz w:val="32"/>
          <w:szCs w:val="32"/>
        </w:rPr>
      </w:pPr>
      <w:r>
        <w:rPr>
          <w:rFonts w:ascii="Times New Roman" w:hAnsi="Times New Roman" w:eastAsia="仿宋_GB2312"/>
          <w:b/>
          <w:bCs/>
          <w:sz w:val="32"/>
          <w:szCs w:val="32"/>
        </w:rPr>
        <w:t>创新投融资模式。</w:t>
      </w:r>
      <w:r>
        <w:rPr>
          <w:rFonts w:ascii="Times New Roman" w:hAnsi="Times New Roman" w:eastAsia="仿宋_GB2312"/>
          <w:sz w:val="32"/>
          <w:szCs w:val="32"/>
        </w:rPr>
        <w:t>强化资本市场服务实体经济能力，推动</w:t>
      </w:r>
      <w:r>
        <w:rPr>
          <w:rFonts w:hint="eastAsia" w:ascii="Times New Roman" w:hAnsi="Times New Roman" w:eastAsia="仿宋_GB2312"/>
          <w:sz w:val="32"/>
          <w:szCs w:val="32"/>
        </w:rPr>
        <w:t>符合</w:t>
      </w:r>
      <w:r>
        <w:rPr>
          <w:rFonts w:ascii="Times New Roman" w:hAnsi="Times New Roman" w:eastAsia="仿宋_GB2312"/>
          <w:sz w:val="32"/>
          <w:szCs w:val="32"/>
        </w:rPr>
        <w:t>国家政策导向、社会效益良好、投资收益率稳定且运营管理水平较好的项目开展基础设施领域不动产投资信托基金试点，有效盘活存量资产。统筹使用中央预算内投资、地方政府专项债券等各类政府投资，更好发挥政府投资资金的引导和带动作用，鼓励社会资金投向公共领域项目。常态化向民间资本推介“两新一重”和基础补短板等项目，拓宽民间投资渠道。积极推进符合条件的PPP项目通过资产证券化方式实现市场化融资，鼓励民间资本采取混合所有制、设立基金、组建联合体等多种方式，参与投资规模较大的PPP项目。支持民营企业上市和再融资，引导民营企业通过增资扩股、债券发行等方式融资。进一步完善抵押担保体系，为民营企业融资提供有力支撑。</w:t>
      </w:r>
    </w:p>
    <w:p w14:paraId="25D7C656">
      <w:pPr>
        <w:spacing w:before="100" w:beforeAutospacing="1" w:after="100" w:afterAutospacing="1"/>
        <w:jc w:val="center"/>
        <w:outlineLvl w:val="1"/>
        <w:rPr>
          <w:rFonts w:ascii="Times New Roman" w:hAnsi="Times New Roman" w:eastAsia="黑体"/>
          <w:sz w:val="32"/>
          <w:szCs w:val="32"/>
        </w:rPr>
      </w:pPr>
      <w:bookmarkStart w:id="45" w:name="_Toc53003446"/>
      <w:bookmarkStart w:id="46" w:name="_Toc8375"/>
      <w:r>
        <w:rPr>
          <w:rFonts w:ascii="Times New Roman" w:hAnsi="Times New Roman" w:eastAsia="黑体"/>
          <w:sz w:val="32"/>
          <w:szCs w:val="32"/>
        </w:rPr>
        <w:t>第二节</w:t>
      </w:r>
      <w:r>
        <w:rPr>
          <w:rFonts w:hint="eastAsia" w:ascii="Times New Roman" w:hAnsi="Times New Roman" w:eastAsia="黑体"/>
          <w:sz w:val="32"/>
          <w:szCs w:val="32"/>
          <w:lang w:val="en-US" w:eastAsia="zh-CN"/>
        </w:rPr>
        <w:t xml:space="preserve"> </w:t>
      </w:r>
      <w:r>
        <w:rPr>
          <w:rFonts w:ascii="Times New Roman" w:hAnsi="Times New Roman" w:eastAsia="黑体"/>
          <w:sz w:val="32"/>
          <w:szCs w:val="32"/>
        </w:rPr>
        <w:t>着力优化市场供给</w:t>
      </w:r>
      <w:bookmarkEnd w:id="45"/>
      <w:bookmarkEnd w:id="46"/>
    </w:p>
    <w:p w14:paraId="49D45D2F">
      <w:pPr>
        <w:ind w:firstLine="643" w:firstLineChars="200"/>
        <w:rPr>
          <w:rFonts w:ascii="Times New Roman" w:hAnsi="Times New Roman" w:eastAsia="仿宋_GB2312"/>
          <w:sz w:val="32"/>
          <w:szCs w:val="32"/>
        </w:rPr>
      </w:pPr>
      <w:r>
        <w:rPr>
          <w:rFonts w:ascii="Times New Roman" w:hAnsi="Times New Roman" w:eastAsia="仿宋_GB2312"/>
          <w:b/>
          <w:sz w:val="32"/>
          <w:szCs w:val="32"/>
        </w:rPr>
        <w:t>全面提升产品和服务竞争力。</w:t>
      </w:r>
      <w:r>
        <w:rPr>
          <w:rFonts w:ascii="Times New Roman" w:hAnsi="Times New Roman" w:eastAsia="仿宋_GB2312"/>
          <w:sz w:val="32"/>
          <w:szCs w:val="32"/>
        </w:rPr>
        <w:t>推进质量提升</w:t>
      </w:r>
      <w:r>
        <w:rPr>
          <w:rFonts w:hint="eastAsia" w:ascii="Times New Roman" w:hAnsi="Times New Roman" w:eastAsia="仿宋_GB2312"/>
          <w:sz w:val="32"/>
          <w:szCs w:val="32"/>
          <w:lang w:val="en-US" w:eastAsia="zh-CN"/>
        </w:rPr>
        <w:t>行动</w:t>
      </w:r>
      <w:r>
        <w:rPr>
          <w:rFonts w:ascii="Times New Roman" w:hAnsi="Times New Roman" w:eastAsia="仿宋_GB2312"/>
          <w:sz w:val="32"/>
          <w:szCs w:val="32"/>
        </w:rPr>
        <w:t>，积极创建省级质量提升示范区。开展质量标杆和领先企业示范行动，支持本地企业主持或参与制定行业、国家和地方标准，积极参与制定国际标准。建立重点消费品质量追溯制度，推广先进质量管理技术和方法，完善产品质量监督体系，加强检验检测平台和监管体系建设。加强品牌保护和宣传，严厉打击生产、销售假冒名牌产品等违法行为。</w:t>
      </w:r>
    </w:p>
    <w:p w14:paraId="48EB7FBA">
      <w:pPr>
        <w:ind w:firstLine="643" w:firstLineChars="200"/>
        <w:rPr>
          <w:rFonts w:ascii="Times New Roman" w:hAnsi="Times New Roman" w:eastAsia="仿宋_GB2312"/>
          <w:bCs/>
          <w:sz w:val="32"/>
          <w:szCs w:val="32"/>
        </w:rPr>
      </w:pPr>
      <w:r>
        <w:rPr>
          <w:rFonts w:ascii="Times New Roman" w:hAnsi="Times New Roman" w:eastAsia="仿宋_GB2312"/>
          <w:b/>
          <w:bCs/>
          <w:sz w:val="32"/>
          <w:szCs w:val="32"/>
        </w:rPr>
        <w:t>提升产业供给质量。</w:t>
      </w:r>
      <w:r>
        <w:rPr>
          <w:rFonts w:hint="eastAsia" w:ascii="Times New Roman" w:hAnsi="Times New Roman" w:eastAsia="仿宋_GB2312"/>
          <w:bCs/>
          <w:sz w:val="32"/>
          <w:szCs w:val="32"/>
        </w:rPr>
        <w:t>深化供给侧结构性改革，着力增加质量好、服务优、适销对路的产品和服务供给，全面提升产品和服务的市场竞争力。</w:t>
      </w:r>
      <w:r>
        <w:rPr>
          <w:rFonts w:ascii="Times New Roman" w:hAnsi="Times New Roman" w:eastAsia="仿宋_GB2312"/>
          <w:bCs/>
          <w:sz w:val="32"/>
          <w:szCs w:val="32"/>
        </w:rPr>
        <w:t>强化结构性去产能、系统性去产能，加速 “僵尸企业”出清，切实减少无效和低端供给，提升优质产能占比。鼓励企业对标市场中高端要求，提升生产技术、工艺装备、能效环保、质量安全等水平，推动产业基础能力和产业链升级，促进供给体系的质量和效率不断提升。</w:t>
      </w:r>
      <w:r>
        <w:rPr>
          <w:rFonts w:hint="eastAsia" w:ascii="Times New Roman" w:hAnsi="Times New Roman" w:eastAsia="仿宋_GB2312"/>
          <w:bCs/>
          <w:sz w:val="32"/>
          <w:szCs w:val="32"/>
          <w:lang w:val="en-US" w:eastAsia="zh-CN"/>
        </w:rPr>
        <w:t>建立重点消费品质量追溯制度，加强食品药品安全监管，完善产品质量监督体系，创建省级质量提升示范区。</w:t>
      </w:r>
    </w:p>
    <w:p w14:paraId="0617333F">
      <w:pPr>
        <w:ind w:firstLine="643" w:firstLineChars="200"/>
        <w:rPr>
          <w:rFonts w:ascii="Times New Roman" w:hAnsi="Times New Roman" w:eastAsia="仿宋_GB2312"/>
          <w:sz w:val="32"/>
          <w:szCs w:val="32"/>
        </w:rPr>
      </w:pPr>
      <w:r>
        <w:rPr>
          <w:rFonts w:ascii="Times New Roman" w:hAnsi="Times New Roman" w:eastAsia="仿宋_GB2312"/>
          <w:b/>
          <w:sz w:val="32"/>
          <w:szCs w:val="32"/>
        </w:rPr>
        <w:t>实施品牌桐城建设。</w:t>
      </w:r>
      <w:r>
        <w:rPr>
          <w:rFonts w:ascii="Times New Roman" w:hAnsi="Times New Roman" w:eastAsia="仿宋_GB2312"/>
          <w:sz w:val="32"/>
          <w:szCs w:val="32"/>
        </w:rPr>
        <w:t>实施技术标准战略，强化品牌规划引领、品牌培育创建，努力形成一批拥有自主知识产权的品牌产品，积极发展品牌经济。深入实施增品种、提品质、创品牌的“三品”战略，加强品牌策划与营销，支持企业</w:t>
      </w:r>
      <w:r>
        <w:rPr>
          <w:rFonts w:hint="eastAsia" w:ascii="仿宋_GB2312" w:hAnsi="仿宋_GB2312" w:eastAsia="仿宋_GB2312" w:cs="仿宋_GB2312"/>
          <w:sz w:val="32"/>
          <w:szCs w:val="32"/>
        </w:rPr>
        <w:t>依法申请驰名商标</w:t>
      </w:r>
      <w:r>
        <w:rPr>
          <w:rFonts w:ascii="Times New Roman" w:hAnsi="Times New Roman" w:eastAsia="仿宋_GB2312"/>
          <w:sz w:val="32"/>
          <w:szCs w:val="32"/>
        </w:rPr>
        <w:t>、国际国内品牌，积极推荐符合条件的企业申请“中华老字号”“安徽老字号”。到2025年，全市中国驰名商标达到</w:t>
      </w:r>
      <w:r>
        <w:rPr>
          <w:rFonts w:hint="eastAsia" w:ascii="Times New Roman" w:hAnsi="Times New Roman" w:eastAsia="仿宋_GB2312"/>
          <w:sz w:val="32"/>
          <w:szCs w:val="32"/>
          <w:lang w:val="en-US" w:eastAsia="zh-CN"/>
        </w:rPr>
        <w:t>19</w:t>
      </w:r>
      <w:r>
        <w:rPr>
          <w:rFonts w:ascii="Times New Roman" w:hAnsi="Times New Roman" w:eastAsia="仿宋_GB2312"/>
          <w:sz w:val="32"/>
          <w:szCs w:val="32"/>
        </w:rPr>
        <w:t>个。</w:t>
      </w:r>
    </w:p>
    <w:p w14:paraId="43742E6D">
      <w:pPr>
        <w:spacing w:before="100" w:beforeAutospacing="1" w:after="100" w:afterAutospacing="1"/>
        <w:jc w:val="center"/>
        <w:outlineLvl w:val="1"/>
        <w:rPr>
          <w:rFonts w:ascii="Times New Roman" w:hAnsi="Times New Roman" w:eastAsia="黑体"/>
          <w:sz w:val="32"/>
          <w:szCs w:val="32"/>
        </w:rPr>
      </w:pPr>
      <w:bookmarkStart w:id="47" w:name="_Toc26099"/>
      <w:bookmarkStart w:id="48" w:name="_Toc53003447"/>
      <w:r>
        <w:rPr>
          <w:rFonts w:ascii="Times New Roman" w:hAnsi="Times New Roman" w:eastAsia="黑体"/>
          <w:sz w:val="32"/>
          <w:szCs w:val="32"/>
        </w:rPr>
        <w:t>第三节</w:t>
      </w:r>
      <w:r>
        <w:rPr>
          <w:rFonts w:hint="eastAsia" w:ascii="Times New Roman" w:hAnsi="Times New Roman" w:eastAsia="黑体"/>
          <w:sz w:val="32"/>
          <w:szCs w:val="32"/>
          <w:lang w:val="en-US" w:eastAsia="zh-CN"/>
        </w:rPr>
        <w:t xml:space="preserve"> </w:t>
      </w:r>
      <w:r>
        <w:rPr>
          <w:rFonts w:hint="eastAsia" w:ascii="Times New Roman" w:hAnsi="Times New Roman" w:eastAsia="黑体"/>
          <w:sz w:val="32"/>
          <w:szCs w:val="32"/>
        </w:rPr>
        <w:t>充分</w:t>
      </w:r>
      <w:r>
        <w:rPr>
          <w:rFonts w:ascii="Times New Roman" w:hAnsi="Times New Roman" w:eastAsia="黑体"/>
          <w:sz w:val="32"/>
          <w:szCs w:val="32"/>
        </w:rPr>
        <w:t>释放消费潜力</w:t>
      </w:r>
      <w:bookmarkEnd w:id="47"/>
      <w:bookmarkEnd w:id="48"/>
    </w:p>
    <w:p w14:paraId="7B4C2CDA">
      <w:pPr>
        <w:ind w:firstLine="643" w:firstLineChars="200"/>
        <w:rPr>
          <w:rFonts w:ascii="Times New Roman" w:hAnsi="Times New Roman" w:eastAsia="仿宋_GB2312"/>
          <w:sz w:val="32"/>
          <w:szCs w:val="32"/>
        </w:rPr>
      </w:pPr>
      <w:r>
        <w:rPr>
          <w:rFonts w:ascii="Times New Roman" w:hAnsi="Times New Roman" w:eastAsia="仿宋_GB2312"/>
          <w:b/>
          <w:sz w:val="32"/>
          <w:szCs w:val="32"/>
        </w:rPr>
        <w:t>推进实物消费提档升级。</w:t>
      </w:r>
      <w:r>
        <w:rPr>
          <w:rFonts w:ascii="Times New Roman" w:hAnsi="Times New Roman" w:eastAsia="仿宋_GB2312"/>
          <w:sz w:val="32"/>
          <w:szCs w:val="32"/>
        </w:rPr>
        <w:t>更新升级吃穿住用行等一般性消费，加强引导、强化监督，确保市场主体提供安全放心的吃穿用消费品。</w:t>
      </w:r>
      <w:r>
        <w:rPr>
          <w:rFonts w:hint="eastAsia" w:ascii="Times New Roman" w:hAnsi="Times New Roman" w:eastAsia="仿宋_GB2312"/>
          <w:sz w:val="32"/>
          <w:szCs w:val="32"/>
        </w:rPr>
        <w:t>优化商贸服务业业态，推进城乡商业网点一体化，</w:t>
      </w:r>
      <w:r>
        <w:rPr>
          <w:rFonts w:ascii="Times New Roman" w:hAnsi="Times New Roman" w:eastAsia="仿宋_GB2312"/>
          <w:sz w:val="32"/>
          <w:szCs w:val="32"/>
        </w:rPr>
        <w:t>鼓励商贸企业扩大中高端移动通信终端、智慧家用电器等商品经营。支持国内外知名品牌汽车经销商入驻，加快停车场、充电桩建设，</w:t>
      </w:r>
      <w:r>
        <w:rPr>
          <w:rFonts w:hint="eastAsia" w:ascii="Times New Roman" w:hAnsi="Times New Roman" w:eastAsia="仿宋_GB2312"/>
          <w:sz w:val="32"/>
          <w:szCs w:val="32"/>
        </w:rPr>
        <w:t>提升二手车交易服务能力，</w:t>
      </w:r>
      <w:r>
        <w:rPr>
          <w:rFonts w:ascii="Times New Roman" w:hAnsi="Times New Roman" w:eastAsia="仿宋_GB2312"/>
          <w:sz w:val="32"/>
          <w:szCs w:val="32"/>
        </w:rPr>
        <w:t>推动汽车消费增长。大力发展信息消费，扩大可穿戴设备、智能家居、移动智能终端、医疗机器人等智能化产品供给。建立绿色产品多元化供给体系，建立健全废旧产品回收体系，把绿色消费纳入节能宣传周、低碳日、环境日等主题宣传教育活动。</w:t>
      </w:r>
    </w:p>
    <w:p w14:paraId="10112A5E">
      <w:pPr>
        <w:ind w:firstLine="643" w:firstLineChars="200"/>
        <w:rPr>
          <w:rFonts w:ascii="Times New Roman" w:hAnsi="Times New Roman" w:eastAsia="仿宋_GB2312"/>
          <w:sz w:val="32"/>
          <w:szCs w:val="32"/>
        </w:rPr>
      </w:pPr>
      <w:r>
        <w:rPr>
          <w:rFonts w:ascii="Times New Roman" w:hAnsi="Times New Roman" w:eastAsia="仿宋_GB2312"/>
          <w:b/>
          <w:sz w:val="32"/>
          <w:szCs w:val="32"/>
        </w:rPr>
        <w:t>培育新型消费热点</w:t>
      </w:r>
      <w:r>
        <w:rPr>
          <w:rFonts w:ascii="Times New Roman" w:hAnsi="Times New Roman" w:eastAsia="仿宋_GB2312"/>
          <w:sz w:val="32"/>
          <w:szCs w:val="32"/>
        </w:rPr>
        <w:t>。</w:t>
      </w:r>
      <w:r>
        <w:rPr>
          <w:rFonts w:hint="eastAsia" w:ascii="Times New Roman" w:hAnsi="Times New Roman" w:eastAsia="仿宋_GB2312"/>
          <w:sz w:val="32"/>
          <w:szCs w:val="32"/>
        </w:rPr>
        <w:t>实施消费空间拓展工程，</w:t>
      </w:r>
      <w:r>
        <w:rPr>
          <w:rFonts w:ascii="Times New Roman" w:hAnsi="Times New Roman" w:eastAsia="仿宋_GB2312"/>
          <w:sz w:val="32"/>
          <w:szCs w:val="32"/>
        </w:rPr>
        <w:t>深入发展在线文娱、在线健身，创新无接触式消费模式，探索发展智慧超市、智慧商店、智慧餐厅等新零售业态。积极培育发展直播带货、夜经济、宅经济、云端购、无人零售、电竞运动等消费新热点。大力发展融合化在线教育，积极发展互联网医疗，鼓励发展便捷化线上办公。进一步支持依托互联网的团购、共享出行、共享住宿等共享经济新业态发展。积极培育品质消费、定制消费、体验消费、智能消费、时尚消费等消费新热点。</w:t>
      </w:r>
    </w:p>
    <w:p w14:paraId="1E20216C">
      <w:pPr>
        <w:ind w:firstLine="643" w:firstLineChars="200"/>
        <w:rPr>
          <w:rFonts w:ascii="Times New Roman" w:hAnsi="Times New Roman" w:eastAsia="仿宋_GB2312"/>
          <w:sz w:val="32"/>
          <w:szCs w:val="32"/>
        </w:rPr>
      </w:pPr>
      <w:r>
        <w:rPr>
          <w:rFonts w:ascii="Times New Roman" w:hAnsi="Times New Roman" w:eastAsia="仿宋_GB2312"/>
          <w:b/>
          <w:sz w:val="32"/>
          <w:szCs w:val="32"/>
        </w:rPr>
        <w:t>推进服务消费提质扩容。</w:t>
      </w:r>
      <w:r>
        <w:rPr>
          <w:rFonts w:ascii="Times New Roman" w:hAnsi="Times New Roman" w:eastAsia="仿宋_GB2312"/>
          <w:sz w:val="32"/>
          <w:szCs w:val="32"/>
        </w:rPr>
        <w:t>激发文化旅游消费潜力，继续推进国有景区门票降价，举办文化旅游消费季、消费月和数字文旅消费体验活动。提高文化和旅游消费场所移动支付便捷度。</w:t>
      </w:r>
      <w:r>
        <w:rPr>
          <w:rFonts w:hint="eastAsia" w:ascii="Times New Roman" w:hAnsi="Times New Roman" w:eastAsia="仿宋_GB2312"/>
          <w:sz w:val="32"/>
          <w:szCs w:val="32"/>
        </w:rPr>
        <w:t>创新传承“老字号”，</w:t>
      </w:r>
      <w:r>
        <w:rPr>
          <w:rFonts w:ascii="Times New Roman" w:hAnsi="Times New Roman" w:eastAsia="仿宋_GB2312"/>
          <w:sz w:val="32"/>
          <w:szCs w:val="32"/>
        </w:rPr>
        <w:t>大力发展</w:t>
      </w:r>
      <w:r>
        <w:rPr>
          <w:rFonts w:hint="eastAsia" w:ascii="Times New Roman" w:hAnsi="Times New Roman" w:eastAsia="仿宋_GB2312"/>
          <w:sz w:val="32"/>
          <w:szCs w:val="32"/>
        </w:rPr>
        <w:t>节日经济和</w:t>
      </w:r>
      <w:r>
        <w:rPr>
          <w:rFonts w:ascii="Times New Roman" w:hAnsi="Times New Roman" w:eastAsia="仿宋_GB2312"/>
          <w:sz w:val="32"/>
          <w:szCs w:val="32"/>
        </w:rPr>
        <w:t>夜间文旅经济，鼓励建设24小时书店。引导和扩大健康养老消费，大力发展老年护理和长期照护服务，推动社区养老服务设施全覆盖。积极培育家政托育消费，开展家政服务标准化及多种形式婴幼儿照顾服务试点示范建设。</w:t>
      </w:r>
    </w:p>
    <w:p w14:paraId="07515D3E">
      <w:pPr>
        <w:ind w:firstLine="643" w:firstLineChars="200"/>
        <w:rPr>
          <w:rFonts w:ascii="Times New Roman" w:hAnsi="Times New Roman" w:eastAsia="仿宋_GB2312"/>
          <w:sz w:val="32"/>
          <w:szCs w:val="32"/>
        </w:rPr>
      </w:pPr>
      <w:r>
        <w:rPr>
          <w:rFonts w:ascii="Times New Roman" w:hAnsi="Times New Roman" w:eastAsia="仿宋_GB2312"/>
          <w:b/>
          <w:sz w:val="32"/>
          <w:szCs w:val="32"/>
        </w:rPr>
        <w:t>推动农村消费升级。</w:t>
      </w:r>
      <w:r>
        <w:rPr>
          <w:rFonts w:ascii="Times New Roman" w:hAnsi="Times New Roman" w:eastAsia="仿宋_GB2312"/>
          <w:sz w:val="32"/>
          <w:szCs w:val="32"/>
        </w:rPr>
        <w:t>鼓励农村商贸流通企业开展连锁化经营，支持邮政、快递、物流等企业发展共同配送，推动农村流通降本增效。加快农村吃穿用住等一般性消费提质扩容，引导农村居民增加交通通行、文化娱乐等消费。大力推动汽车、家电等耐用消费品下乡。鼓励各镇将商贸物流与休闲农业、乡村旅游、产品加工等有机结合。支持举办具有农村特色的“购物节”“节庆集市”等促消费活动。</w:t>
      </w:r>
      <w:r>
        <w:rPr>
          <w:rFonts w:hint="eastAsia" w:ascii="Times New Roman" w:hAnsi="Times New Roman" w:eastAsia="仿宋_GB2312"/>
          <w:sz w:val="32"/>
          <w:szCs w:val="32"/>
        </w:rPr>
        <w:t>遏制</w:t>
      </w:r>
      <w:r>
        <w:rPr>
          <w:rFonts w:ascii="Times New Roman" w:hAnsi="Times New Roman" w:eastAsia="仿宋_GB2312"/>
          <w:sz w:val="32"/>
          <w:szCs w:val="32"/>
        </w:rPr>
        <w:t>假冒伪劣商品流入农村市场。鼓励和支持消费新模式、新业态向农村市场拓展。</w:t>
      </w:r>
    </w:p>
    <w:p w14:paraId="02D3CC62">
      <w:pPr>
        <w:ind w:firstLine="643" w:firstLineChars="200"/>
        <w:rPr>
          <w:rFonts w:ascii="Times New Roman" w:hAnsi="Times New Roman" w:eastAsia="仿宋_GB2312"/>
          <w:sz w:val="32"/>
          <w:szCs w:val="32"/>
        </w:rPr>
      </w:pPr>
      <w:r>
        <w:rPr>
          <w:rFonts w:ascii="Times New Roman" w:hAnsi="Times New Roman" w:eastAsia="仿宋_GB2312"/>
          <w:b/>
          <w:sz w:val="32"/>
          <w:szCs w:val="32"/>
        </w:rPr>
        <w:t>优化居民消费环境。</w:t>
      </w:r>
      <w:r>
        <w:rPr>
          <w:rFonts w:ascii="Times New Roman" w:hAnsi="Times New Roman" w:eastAsia="仿宋_GB2312"/>
          <w:sz w:val="32"/>
          <w:szCs w:val="32"/>
        </w:rPr>
        <w:t>规范市场经营行为，深入开展放心</w:t>
      </w:r>
      <w:r>
        <w:rPr>
          <w:rFonts w:hint="eastAsia" w:ascii="Times New Roman" w:hAnsi="Times New Roman" w:eastAsia="仿宋_GB2312"/>
          <w:sz w:val="32"/>
          <w:szCs w:val="32"/>
          <w:lang w:val="en-US" w:eastAsia="zh-CN"/>
        </w:rPr>
        <w:t>满意</w:t>
      </w:r>
      <w:r>
        <w:rPr>
          <w:rFonts w:ascii="Times New Roman" w:hAnsi="Times New Roman" w:eastAsia="仿宋_GB2312"/>
          <w:sz w:val="32"/>
          <w:szCs w:val="32"/>
        </w:rPr>
        <w:t>消费创建活动，依法打击侵害消费者权益行为。规范市场经营秩序，从严查处垄断和不正当竞争行为。严格执行国家商品三包规定，加大消费品质量监督和社会宣传力度，加强消费引导。推进社会信用体系建设，引导行业协会开展诚信自律等信用建设。创新消费维权机制，构建多元共治的消费维权体系，营造居民愿意消费、放心消费的环境。</w:t>
      </w:r>
    </w:p>
    <w:p w14:paraId="18A001FE">
      <w:pPr>
        <w:pStyle w:val="5"/>
      </w:pPr>
      <w:r>
        <w:br w:type="page"/>
      </w:r>
    </w:p>
    <w:p w14:paraId="5769DD97">
      <w:pPr>
        <w:pStyle w:val="3"/>
        <w:spacing w:before="100" w:beforeAutospacing="1" w:after="100" w:afterAutospacing="1"/>
        <w:jc w:val="center"/>
        <w:rPr>
          <w:rFonts w:eastAsia="方正小标宋简体"/>
        </w:rPr>
      </w:pPr>
      <w:bookmarkStart w:id="49" w:name="_Toc7738"/>
      <w:r>
        <w:rPr>
          <w:rFonts w:hint="eastAsia" w:eastAsia="方正小标宋简体"/>
        </w:rPr>
        <w:t>坚持开放</w:t>
      </w:r>
      <w:r>
        <w:rPr>
          <w:rFonts w:eastAsia="方正小标宋简体"/>
        </w:rPr>
        <w:t>融入，在一体化</w:t>
      </w:r>
      <w:r>
        <w:rPr>
          <w:rFonts w:hint="eastAsia" w:eastAsia="方正小标宋简体"/>
        </w:rPr>
        <w:t>进程中实现</w:t>
      </w:r>
      <w:r>
        <w:rPr>
          <w:rFonts w:eastAsia="方正小标宋简体"/>
        </w:rPr>
        <w:t>更大</w:t>
      </w:r>
      <w:r>
        <w:rPr>
          <w:rFonts w:hint="eastAsia" w:eastAsia="方正小标宋简体"/>
        </w:rPr>
        <w:t>发展</w:t>
      </w:r>
      <w:bookmarkEnd w:id="49"/>
    </w:p>
    <w:p w14:paraId="00A8CA9B">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紧紧抓住合肥都市圈、长三角一体化、长江经济带建设等历史性机遇，实施“南接北融东联”工程，勇当安庆县域排头兵、争做合肥都市圈优等生。</w:t>
      </w:r>
    </w:p>
    <w:p w14:paraId="18C42D90">
      <w:pPr>
        <w:spacing w:before="100" w:beforeAutospacing="1" w:after="100" w:afterAutospacing="1"/>
        <w:jc w:val="center"/>
        <w:outlineLvl w:val="1"/>
        <w:rPr>
          <w:rFonts w:ascii="Times New Roman" w:hAnsi="Times New Roman" w:eastAsia="黑体"/>
          <w:sz w:val="32"/>
          <w:szCs w:val="32"/>
        </w:rPr>
      </w:pPr>
      <w:bookmarkStart w:id="50" w:name="_Toc25184"/>
      <w:r>
        <w:rPr>
          <w:rFonts w:ascii="Times New Roman" w:hAnsi="Times New Roman" w:eastAsia="黑体"/>
          <w:sz w:val="32"/>
          <w:szCs w:val="32"/>
        </w:rPr>
        <w:t>第</w:t>
      </w:r>
      <w:r>
        <w:rPr>
          <w:rFonts w:hint="eastAsia" w:ascii="Times New Roman" w:hAnsi="Times New Roman" w:eastAsia="黑体"/>
          <w:sz w:val="32"/>
          <w:szCs w:val="32"/>
        </w:rPr>
        <w:t>一</w:t>
      </w:r>
      <w:r>
        <w:rPr>
          <w:rFonts w:ascii="Times New Roman" w:hAnsi="Times New Roman" w:eastAsia="黑体"/>
          <w:sz w:val="32"/>
          <w:szCs w:val="32"/>
        </w:rPr>
        <w:t>节</w:t>
      </w:r>
      <w:r>
        <w:rPr>
          <w:rFonts w:hint="eastAsia" w:ascii="Times New Roman" w:hAnsi="Times New Roman" w:eastAsia="黑体"/>
          <w:sz w:val="32"/>
          <w:szCs w:val="32"/>
        </w:rPr>
        <w:t xml:space="preserve"> 优化双向开放布局</w:t>
      </w:r>
      <w:bookmarkEnd w:id="50"/>
    </w:p>
    <w:p w14:paraId="664BD43C">
      <w:pPr>
        <w:ind w:firstLine="643" w:firstLineChars="200"/>
        <w:rPr>
          <w:rFonts w:ascii="Times New Roman" w:hAnsi="Times New Roman" w:eastAsia="仿宋_GB2312"/>
          <w:sz w:val="32"/>
          <w:szCs w:val="32"/>
        </w:rPr>
      </w:pPr>
      <w:r>
        <w:rPr>
          <w:rFonts w:ascii="Times New Roman" w:hAnsi="Times New Roman" w:eastAsia="仿宋_GB2312"/>
          <w:b/>
          <w:bCs/>
          <w:sz w:val="32"/>
          <w:szCs w:val="32"/>
        </w:rPr>
        <w:t>积极参与“一带一路”建设。</w:t>
      </w:r>
      <w:r>
        <w:rPr>
          <w:rFonts w:ascii="Times New Roman" w:hAnsi="Times New Roman" w:eastAsia="仿宋_GB2312"/>
          <w:bCs/>
          <w:sz w:val="32"/>
          <w:szCs w:val="32"/>
        </w:rPr>
        <w:t>紧密依托合肥都市圈，建立参加“一带一路”的合作机制</w:t>
      </w:r>
      <w:r>
        <w:rPr>
          <w:rFonts w:hint="eastAsia" w:ascii="Times New Roman" w:hAnsi="Times New Roman" w:eastAsia="仿宋_GB2312"/>
          <w:bCs/>
          <w:sz w:val="32"/>
          <w:szCs w:val="32"/>
        </w:rPr>
        <w:t>，</w:t>
      </w:r>
      <w:r>
        <w:rPr>
          <w:rFonts w:ascii="Times New Roman" w:hAnsi="Times New Roman" w:eastAsia="仿宋_GB2312"/>
          <w:bCs/>
          <w:sz w:val="32"/>
          <w:szCs w:val="32"/>
        </w:rPr>
        <w:t>加强与沿线国家和地区在基础设施、产业技术、能源资源等领域国际交流合作。依托长江黄金水道、江淮运河、合安九高铁</w:t>
      </w:r>
      <w:r>
        <w:rPr>
          <w:rFonts w:hint="eastAsia" w:ascii="Times New Roman" w:hAnsi="Times New Roman" w:eastAsia="仿宋_GB2312"/>
          <w:bCs/>
          <w:sz w:val="32"/>
          <w:szCs w:val="32"/>
        </w:rPr>
        <w:t>、G206</w:t>
      </w:r>
      <w:r>
        <w:rPr>
          <w:rFonts w:ascii="Times New Roman" w:hAnsi="Times New Roman" w:eastAsia="仿宋_GB2312"/>
          <w:bCs/>
          <w:sz w:val="32"/>
          <w:szCs w:val="32"/>
        </w:rPr>
        <w:t>等重要通道，加强与“一带一路”重要节点城市协作，提升客货集疏运能力和贸易便利化水平，共同打造服务“一带一路”的区域现代流通体系。</w:t>
      </w:r>
      <w:r>
        <w:rPr>
          <w:rFonts w:ascii="Times New Roman" w:hAnsi="Times New Roman" w:eastAsia="仿宋_GB2312"/>
          <w:sz w:val="32"/>
          <w:szCs w:val="32"/>
        </w:rPr>
        <w:t>积极推进国际产能合作，</w:t>
      </w:r>
      <w:r>
        <w:rPr>
          <w:rFonts w:ascii="Times New Roman" w:hAnsi="Times New Roman" w:eastAsia="仿宋_GB2312"/>
          <w:bCs/>
          <w:sz w:val="32"/>
          <w:szCs w:val="32"/>
        </w:rPr>
        <w:t>鼓励节能环保、汽车零部件、家纺服装等</w:t>
      </w:r>
      <w:r>
        <w:rPr>
          <w:rFonts w:hint="eastAsia" w:ascii="Times New Roman" w:hAnsi="Times New Roman" w:eastAsia="仿宋_GB2312"/>
          <w:bCs/>
          <w:sz w:val="32"/>
          <w:szCs w:val="32"/>
        </w:rPr>
        <w:t>企业建立</w:t>
      </w:r>
      <w:r>
        <w:rPr>
          <w:rFonts w:ascii="Times New Roman" w:hAnsi="Times New Roman" w:eastAsia="仿宋_GB2312"/>
          <w:bCs/>
          <w:sz w:val="32"/>
          <w:szCs w:val="32"/>
        </w:rPr>
        <w:t>境外生产基地</w:t>
      </w:r>
      <w:r>
        <w:rPr>
          <w:rFonts w:hint="eastAsia" w:ascii="Times New Roman" w:hAnsi="Times New Roman" w:eastAsia="仿宋_GB2312"/>
          <w:bCs/>
          <w:sz w:val="32"/>
          <w:szCs w:val="32"/>
        </w:rPr>
        <w:t>和</w:t>
      </w:r>
      <w:r>
        <w:rPr>
          <w:rFonts w:ascii="Times New Roman" w:hAnsi="Times New Roman" w:eastAsia="仿宋_GB2312"/>
          <w:sz w:val="32"/>
          <w:szCs w:val="32"/>
        </w:rPr>
        <w:t>境外合作联盟。</w:t>
      </w:r>
    </w:p>
    <w:p w14:paraId="0478D8A8">
      <w:pPr>
        <w:ind w:firstLine="643" w:firstLineChars="200"/>
        <w:rPr>
          <w:rFonts w:hint="eastAsia" w:ascii="Times New Roman" w:hAnsi="Times New Roman" w:eastAsia="仿宋_GB2312"/>
          <w:bCs/>
          <w:sz w:val="32"/>
          <w:szCs w:val="32"/>
        </w:rPr>
      </w:pPr>
      <w:r>
        <w:rPr>
          <w:rFonts w:ascii="Times New Roman" w:hAnsi="Times New Roman" w:eastAsia="仿宋_GB2312"/>
          <w:b/>
          <w:bCs/>
          <w:sz w:val="32"/>
          <w:szCs w:val="32"/>
        </w:rPr>
        <w:t>构建对外开放平台。</w:t>
      </w:r>
      <w:r>
        <w:rPr>
          <w:rFonts w:hint="eastAsia" w:ascii="Times New Roman" w:hAnsi="Times New Roman" w:eastAsia="仿宋_GB2312"/>
          <w:bCs/>
          <w:sz w:val="32"/>
          <w:szCs w:val="32"/>
        </w:rPr>
        <w:t>围绕省自贸区建设，积极探索管理模式创新，促进贸易和投资便利化，争创自贸试验区联动创新区。引入和搭建具有较强影响力和承载力的投资促进、贸易合作、对外交往合作平台，强化经开区对外开放的</w:t>
      </w:r>
      <w:r>
        <w:rPr>
          <w:rFonts w:hint="eastAsia" w:ascii="Times New Roman" w:hAnsi="Times New Roman" w:eastAsia="仿宋_GB2312"/>
          <w:sz w:val="32"/>
          <w:szCs w:val="32"/>
        </w:rPr>
        <w:t>“桥头堡”</w:t>
      </w:r>
      <w:r>
        <w:rPr>
          <w:rFonts w:hint="eastAsia" w:ascii="Times New Roman" w:hAnsi="Times New Roman" w:eastAsia="仿宋_GB2312"/>
          <w:bCs/>
          <w:sz w:val="32"/>
          <w:szCs w:val="32"/>
        </w:rPr>
        <w:t>作用。</w:t>
      </w:r>
      <w:r>
        <w:rPr>
          <w:rFonts w:ascii="Times New Roman" w:hAnsi="Times New Roman" w:eastAsia="仿宋_GB2312"/>
          <w:bCs/>
          <w:sz w:val="32"/>
          <w:szCs w:val="32"/>
        </w:rPr>
        <w:t>依托包装</w:t>
      </w:r>
      <w:r>
        <w:rPr>
          <w:rFonts w:hint="eastAsia" w:ascii="Times New Roman" w:hAnsi="Times New Roman" w:eastAsia="仿宋_GB2312"/>
          <w:bCs/>
          <w:sz w:val="32"/>
          <w:szCs w:val="32"/>
        </w:rPr>
        <w:t>印刷</w:t>
      </w:r>
      <w:r>
        <w:rPr>
          <w:rFonts w:ascii="Times New Roman" w:hAnsi="Times New Roman" w:eastAsia="仿宋_GB2312"/>
          <w:bCs/>
          <w:sz w:val="32"/>
          <w:szCs w:val="32"/>
        </w:rPr>
        <w:t>产业</w:t>
      </w:r>
      <w:r>
        <w:rPr>
          <w:rFonts w:hint="eastAsia" w:ascii="Times New Roman" w:hAnsi="Times New Roman" w:eastAsia="仿宋_GB2312"/>
          <w:bCs/>
          <w:sz w:val="32"/>
          <w:szCs w:val="32"/>
        </w:rPr>
        <w:t>设立保税物流中心（B型），建立</w:t>
      </w:r>
      <w:r>
        <w:rPr>
          <w:rFonts w:ascii="Times New Roman" w:hAnsi="Times New Roman" w:eastAsia="仿宋_GB2312"/>
          <w:bCs/>
          <w:sz w:val="32"/>
          <w:szCs w:val="32"/>
        </w:rPr>
        <w:t>长三角地区进口</w:t>
      </w:r>
      <w:r>
        <w:rPr>
          <w:rFonts w:hint="eastAsia" w:ascii="Times New Roman" w:hAnsi="Times New Roman" w:eastAsia="仿宋_GB2312"/>
          <w:bCs/>
          <w:sz w:val="32"/>
          <w:szCs w:val="32"/>
        </w:rPr>
        <w:t>塑料</w:t>
      </w:r>
      <w:r>
        <w:rPr>
          <w:rFonts w:ascii="Times New Roman" w:hAnsi="Times New Roman" w:eastAsia="仿宋_GB2312"/>
          <w:bCs/>
          <w:sz w:val="32"/>
          <w:szCs w:val="32"/>
        </w:rPr>
        <w:t>原料</w:t>
      </w:r>
      <w:r>
        <w:rPr>
          <w:rFonts w:hint="eastAsia" w:ascii="Times New Roman" w:hAnsi="Times New Roman" w:eastAsia="仿宋_GB2312"/>
          <w:bCs/>
          <w:sz w:val="32"/>
          <w:szCs w:val="32"/>
        </w:rPr>
        <w:t>的</w:t>
      </w:r>
      <w:r>
        <w:rPr>
          <w:rFonts w:ascii="Times New Roman" w:hAnsi="Times New Roman" w:eastAsia="仿宋_GB2312"/>
          <w:bCs/>
          <w:sz w:val="32"/>
          <w:szCs w:val="32"/>
        </w:rPr>
        <w:t>集散地和交易市场。</w:t>
      </w:r>
      <w:r>
        <w:rPr>
          <w:rFonts w:hint="eastAsia" w:ascii="Times New Roman" w:hAnsi="Times New Roman" w:eastAsia="仿宋_GB2312"/>
          <w:sz w:val="32"/>
          <w:szCs w:val="32"/>
        </w:rPr>
        <w:t>高水平建设桐城跨境电商产业园，强化与沪苏浙各大电商平台和企业的对接合作，积极引进跨境电子商务服务型企业。</w:t>
      </w:r>
      <w:r>
        <w:rPr>
          <w:rFonts w:ascii="Times New Roman" w:hAnsi="Times New Roman" w:eastAsia="仿宋_GB2312"/>
          <w:bCs/>
          <w:color w:val="000000" w:themeColor="text1"/>
          <w:sz w:val="32"/>
          <w:szCs w:val="32"/>
        </w:rPr>
        <w:t>孵化外贸新主体</w:t>
      </w:r>
      <w:r>
        <w:rPr>
          <w:rFonts w:hint="eastAsia" w:ascii="Times New Roman" w:hAnsi="Times New Roman" w:eastAsia="仿宋_GB2312"/>
          <w:bCs/>
          <w:color w:val="000000" w:themeColor="text1"/>
          <w:sz w:val="32"/>
          <w:szCs w:val="32"/>
        </w:rPr>
        <w:t>，</w:t>
      </w:r>
      <w:r>
        <w:rPr>
          <w:rFonts w:ascii="Times New Roman" w:hAnsi="Times New Roman" w:eastAsia="仿宋_GB2312"/>
          <w:bCs/>
          <w:color w:val="000000" w:themeColor="text1"/>
          <w:sz w:val="32"/>
          <w:szCs w:val="32"/>
        </w:rPr>
        <w:t>做大做强外贸企业，</w:t>
      </w:r>
      <w:r>
        <w:rPr>
          <w:rFonts w:ascii="Times New Roman" w:hAnsi="Times New Roman" w:eastAsia="仿宋_GB2312"/>
          <w:bCs/>
          <w:sz w:val="32"/>
          <w:szCs w:val="32"/>
        </w:rPr>
        <w:t>创建省级外贸转型升级基地，打造具有国际竞争力的外贸品牌。</w:t>
      </w:r>
    </w:p>
    <w:p w14:paraId="128244AF">
      <w:pPr>
        <w:ind w:firstLine="643" w:firstLineChars="200"/>
        <w:rPr>
          <w:rFonts w:ascii="Times New Roman" w:hAnsi="Times New Roman" w:eastAsia="仿宋_GB2312"/>
          <w:bCs/>
          <w:sz w:val="32"/>
          <w:szCs w:val="32"/>
        </w:rPr>
      </w:pPr>
      <w:r>
        <w:rPr>
          <w:rFonts w:ascii="Times New Roman" w:hAnsi="Times New Roman" w:eastAsia="仿宋_GB2312"/>
          <w:b/>
          <w:bCs/>
          <w:sz w:val="32"/>
          <w:szCs w:val="32"/>
        </w:rPr>
        <w:t>提升招商引资质量。</w:t>
      </w:r>
      <w:r>
        <w:rPr>
          <w:rFonts w:ascii="Times New Roman" w:hAnsi="Times New Roman" w:eastAsia="仿宋_GB2312"/>
          <w:sz w:val="32"/>
          <w:szCs w:val="32"/>
        </w:rPr>
        <w:t>瞄准先进制造业、现代服务业、现代农业、基础设施建设等领域，</w:t>
      </w:r>
      <w:r>
        <w:rPr>
          <w:rFonts w:ascii="Times New Roman" w:hAnsi="Times New Roman" w:eastAsia="仿宋_GB2312"/>
          <w:bCs/>
          <w:sz w:val="32"/>
          <w:szCs w:val="32"/>
        </w:rPr>
        <w:t>搭建产业合作平台，开展精准招商，加强与国际知名企业、跨国公司合作。</w:t>
      </w:r>
      <w:r>
        <w:rPr>
          <w:rFonts w:ascii="Times New Roman" w:hAnsi="Times New Roman" w:eastAsia="仿宋_GB2312"/>
          <w:sz w:val="32"/>
          <w:szCs w:val="32"/>
        </w:rPr>
        <w:t>开展有针对性的投资促进活动，招引投资总量大、产业关联度高、</w:t>
      </w:r>
      <w:r>
        <w:rPr>
          <w:rFonts w:hint="eastAsia" w:ascii="Times New Roman" w:hAnsi="Times New Roman" w:eastAsia="仿宋_GB2312"/>
          <w:sz w:val="32"/>
          <w:szCs w:val="32"/>
        </w:rPr>
        <w:t>科技含量高、</w:t>
      </w:r>
      <w:r>
        <w:rPr>
          <w:rFonts w:ascii="Times New Roman" w:hAnsi="Times New Roman" w:eastAsia="仿宋_GB2312"/>
          <w:sz w:val="32"/>
          <w:szCs w:val="32"/>
        </w:rPr>
        <w:t>牵引性强的重大项目。严把投资强度、产出效益、环境保护、安全生产等关口，避免高耗能、高污染、高排放、低产出的落后项目。创新招商引资方式，推行专业化市场化招商、产业链精准招商，实行更加灵活的激励措施。充分运用信息化手段，推行“不见面”招商、网络招商。</w:t>
      </w:r>
    </w:p>
    <w:p w14:paraId="1D5B5EDB">
      <w:pPr>
        <w:spacing w:before="100" w:beforeAutospacing="1" w:after="100" w:afterAutospacing="1"/>
        <w:jc w:val="center"/>
        <w:outlineLvl w:val="1"/>
        <w:rPr>
          <w:rFonts w:ascii="Times New Roman" w:hAnsi="Times New Roman" w:eastAsia="黑体"/>
          <w:sz w:val="32"/>
          <w:szCs w:val="32"/>
        </w:rPr>
      </w:pPr>
      <w:bookmarkStart w:id="51" w:name="_Toc53003452"/>
      <w:bookmarkStart w:id="52" w:name="_Toc53004297"/>
      <w:bookmarkStart w:id="53" w:name="_Toc47"/>
      <w:r>
        <w:rPr>
          <w:rFonts w:ascii="Times New Roman" w:hAnsi="Times New Roman" w:eastAsia="黑体"/>
          <w:sz w:val="32"/>
          <w:szCs w:val="32"/>
        </w:rPr>
        <w:t>第</w:t>
      </w:r>
      <w:r>
        <w:rPr>
          <w:rFonts w:hint="eastAsia" w:ascii="Times New Roman" w:hAnsi="Times New Roman" w:eastAsia="黑体"/>
          <w:sz w:val="32"/>
          <w:szCs w:val="32"/>
        </w:rPr>
        <w:t>二</w:t>
      </w:r>
      <w:r>
        <w:rPr>
          <w:rFonts w:ascii="Times New Roman" w:hAnsi="Times New Roman" w:eastAsia="黑体"/>
          <w:sz w:val="32"/>
          <w:szCs w:val="32"/>
        </w:rPr>
        <w:t>节</w:t>
      </w:r>
      <w:bookmarkEnd w:id="51"/>
      <w:bookmarkEnd w:id="52"/>
      <w:r>
        <w:rPr>
          <w:rFonts w:hint="eastAsia" w:ascii="Times New Roman" w:hAnsi="Times New Roman" w:eastAsia="黑体"/>
          <w:sz w:val="32"/>
          <w:szCs w:val="32"/>
        </w:rPr>
        <w:t xml:space="preserve"> 接力安庆主城区</w:t>
      </w:r>
      <w:bookmarkEnd w:id="53"/>
    </w:p>
    <w:p w14:paraId="182285E1">
      <w:pPr>
        <w:pStyle w:val="9"/>
        <w:ind w:firstLine="640"/>
        <w:rPr>
          <w:rFonts w:hint="eastAsia" w:ascii="Times New Roman" w:hAnsi="Times New Roman" w:eastAsia="仿宋_GB2312"/>
          <w:sz w:val="32"/>
          <w:szCs w:val="32"/>
        </w:rPr>
      </w:pPr>
      <w:r>
        <w:rPr>
          <w:rFonts w:hint="eastAsia" w:ascii="Times New Roman" w:hAnsi="Times New Roman" w:eastAsia="仿宋_GB2312"/>
          <w:sz w:val="32"/>
          <w:szCs w:val="32"/>
        </w:rPr>
        <w:t>加强与安庆主城区全方位对接与深层次合作。借力安庆</w:t>
      </w:r>
      <w:r>
        <w:rPr>
          <w:rFonts w:ascii="Times New Roman" w:hAnsi="Times New Roman" w:eastAsia="仿宋_GB2312"/>
          <w:bCs/>
          <w:sz w:val="32"/>
          <w:szCs w:val="32"/>
        </w:rPr>
        <w:t>综合保税区</w:t>
      </w:r>
      <w:r>
        <w:rPr>
          <w:rFonts w:hint="eastAsia" w:ascii="Times New Roman" w:hAnsi="Times New Roman" w:eastAsia="仿宋_GB2312"/>
          <w:bCs/>
          <w:sz w:val="32"/>
          <w:szCs w:val="32"/>
        </w:rPr>
        <w:t>、</w:t>
      </w:r>
      <w:r>
        <w:rPr>
          <w:rFonts w:ascii="Times New Roman" w:hAnsi="Times New Roman" w:eastAsia="仿宋_GB2312"/>
          <w:bCs/>
          <w:sz w:val="32"/>
          <w:szCs w:val="32"/>
        </w:rPr>
        <w:t>跨境电商综合试验区</w:t>
      </w:r>
      <w:r>
        <w:rPr>
          <w:rFonts w:hint="eastAsia" w:ascii="Times New Roman" w:hAnsi="Times New Roman" w:eastAsia="仿宋_GB2312"/>
          <w:bCs/>
          <w:sz w:val="32"/>
          <w:szCs w:val="32"/>
        </w:rPr>
        <w:t>、</w:t>
      </w:r>
      <w:r>
        <w:rPr>
          <w:rFonts w:ascii="Times New Roman" w:hAnsi="Times New Roman" w:eastAsia="仿宋_GB2312"/>
          <w:bCs/>
          <w:sz w:val="32"/>
          <w:szCs w:val="32"/>
        </w:rPr>
        <w:t>全国跨境电商</w:t>
      </w:r>
      <w:r>
        <w:rPr>
          <w:rFonts w:hint="eastAsia" w:ascii="Times New Roman" w:hAnsi="Times New Roman" w:eastAsia="仿宋_GB2312"/>
          <w:bCs/>
          <w:sz w:val="32"/>
          <w:szCs w:val="32"/>
        </w:rPr>
        <w:t>零售进口试点城市、安庆港汽车整车进口口岸、进境粮食指定监管场地等五大</w:t>
      </w:r>
      <w:r>
        <w:rPr>
          <w:rFonts w:hint="eastAsia" w:ascii="Times New Roman" w:hAnsi="Times New Roman" w:eastAsia="仿宋_GB2312"/>
          <w:sz w:val="32"/>
          <w:szCs w:val="32"/>
        </w:rPr>
        <w:t>国字号开放平台，开拓发展空间。加强开放和物流领域合作，推动建立统一的口岸与物流管理机制，以安庆高铁西站为中心，打造桐城到安庆多联式货运网络。积极寻求支持，打破行政壁垒，加快推进医保同城结算，构建医疗、养老等民生领域同城化服务体系。</w:t>
      </w:r>
    </w:p>
    <w:p w14:paraId="11A1EF6F">
      <w:pPr>
        <w:pStyle w:val="9"/>
        <w:ind w:firstLine="640"/>
        <w:rPr>
          <w:rFonts w:hint="eastAsia" w:ascii="Times New Roman" w:hAnsi="Times New Roman" w:eastAsia="仿宋_GB2312"/>
          <w:sz w:val="32"/>
          <w:szCs w:val="32"/>
        </w:rPr>
      </w:pPr>
    </w:p>
    <w:p w14:paraId="4DD33F19">
      <w:pPr>
        <w:spacing w:before="100" w:beforeAutospacing="1" w:after="100" w:afterAutospacing="1"/>
        <w:jc w:val="center"/>
        <w:outlineLvl w:val="1"/>
        <w:rPr>
          <w:rFonts w:ascii="Times New Roman" w:hAnsi="Times New Roman" w:eastAsia="黑体"/>
          <w:sz w:val="32"/>
          <w:szCs w:val="32"/>
        </w:rPr>
      </w:pPr>
      <w:bookmarkStart w:id="54" w:name="_Toc5231"/>
      <w:bookmarkStart w:id="55" w:name="_Toc53003451"/>
      <w:bookmarkStart w:id="56" w:name="_Toc53004296"/>
      <w:r>
        <w:rPr>
          <w:rFonts w:ascii="Times New Roman" w:hAnsi="Times New Roman" w:eastAsia="黑体"/>
          <w:sz w:val="32"/>
          <w:szCs w:val="32"/>
        </w:rPr>
        <w:t>第</w:t>
      </w:r>
      <w:r>
        <w:rPr>
          <w:rFonts w:hint="eastAsia" w:ascii="Times New Roman" w:hAnsi="Times New Roman" w:eastAsia="黑体"/>
          <w:sz w:val="32"/>
          <w:szCs w:val="32"/>
        </w:rPr>
        <w:t>三</w:t>
      </w:r>
      <w:r>
        <w:rPr>
          <w:rFonts w:ascii="Times New Roman" w:hAnsi="Times New Roman" w:eastAsia="黑体"/>
          <w:sz w:val="32"/>
          <w:szCs w:val="32"/>
        </w:rPr>
        <w:t>节</w:t>
      </w:r>
      <w:r>
        <w:rPr>
          <w:rFonts w:hint="eastAsia" w:ascii="Times New Roman" w:hAnsi="Times New Roman" w:eastAsia="黑体"/>
          <w:sz w:val="32"/>
          <w:szCs w:val="32"/>
        </w:rPr>
        <w:t xml:space="preserve"> 深度</w:t>
      </w:r>
      <w:r>
        <w:rPr>
          <w:rFonts w:ascii="Times New Roman" w:hAnsi="Times New Roman" w:eastAsia="黑体"/>
          <w:sz w:val="32"/>
          <w:szCs w:val="32"/>
        </w:rPr>
        <w:t>融入合肥都市圈</w:t>
      </w:r>
      <w:bookmarkEnd w:id="54"/>
      <w:bookmarkEnd w:id="55"/>
      <w:bookmarkEnd w:id="56"/>
    </w:p>
    <w:p w14:paraId="26BD06F2">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坚持</w:t>
      </w:r>
      <w:r>
        <w:rPr>
          <w:rFonts w:ascii="Times New Roman" w:hAnsi="Times New Roman" w:eastAsia="仿宋_GB2312"/>
          <w:sz w:val="32"/>
          <w:szCs w:val="32"/>
        </w:rPr>
        <w:t>主动对接</w:t>
      </w:r>
      <w:r>
        <w:rPr>
          <w:rFonts w:hint="eastAsia" w:ascii="Times New Roman" w:hAnsi="Times New Roman" w:eastAsia="仿宋_GB2312"/>
          <w:sz w:val="32"/>
          <w:szCs w:val="32"/>
        </w:rPr>
        <w:t>、主动作为，</w:t>
      </w:r>
      <w:r>
        <w:rPr>
          <w:rFonts w:ascii="Times New Roman" w:hAnsi="Times New Roman" w:eastAsia="仿宋_GB2312"/>
          <w:sz w:val="32"/>
          <w:szCs w:val="32"/>
        </w:rPr>
        <w:t>在工作谋划、理念更新、项目推动、政策制定上找准契合点</w:t>
      </w:r>
      <w:r>
        <w:rPr>
          <w:rFonts w:hint="eastAsia" w:ascii="Times New Roman" w:hAnsi="Times New Roman" w:eastAsia="仿宋_GB2312"/>
          <w:sz w:val="32"/>
          <w:szCs w:val="32"/>
        </w:rPr>
        <w:t>、切入点</w:t>
      </w:r>
      <w:r>
        <w:rPr>
          <w:rFonts w:ascii="Times New Roman" w:hAnsi="Times New Roman" w:eastAsia="仿宋_GB2312"/>
          <w:sz w:val="32"/>
          <w:szCs w:val="32"/>
        </w:rPr>
        <w:t>，</w:t>
      </w:r>
      <w:r>
        <w:rPr>
          <w:rFonts w:hint="eastAsia" w:ascii="Times New Roman" w:hAnsi="Times New Roman" w:eastAsia="仿宋_GB2312"/>
          <w:sz w:val="32"/>
          <w:szCs w:val="32"/>
        </w:rPr>
        <w:t>用活用尽合肥都市圈政策，加强各方面配套，加快合桐一体化进程，努力成为合肥都市圈南部副中心和重要增长极。推进交通网络互联互通，积极争取合肥—舒城—桐城、合肥—庐江—桐城等区域轨道交通建设，连通S231庐江至桐城段、G237枞阳至桐城段建设。积极推动合桐产业走廊规划建设，大力</w:t>
      </w:r>
      <w:r>
        <w:rPr>
          <w:rFonts w:hint="eastAsia" w:ascii="Times New Roman" w:hAnsi="Times New Roman" w:eastAsia="仿宋_GB2312"/>
          <w:sz w:val="34"/>
          <w:szCs w:val="34"/>
        </w:rPr>
        <w:t>承接合肥</w:t>
      </w:r>
      <w:r>
        <w:rPr>
          <w:rFonts w:ascii="Times New Roman" w:hAnsi="Times New Roman" w:eastAsia="仿宋_GB2312"/>
          <w:sz w:val="32"/>
          <w:szCs w:val="32"/>
        </w:rPr>
        <w:t>新材料、节能环保、电子信息、高端装备制造、生物医药、集成电路、金融科技等产业转移</w:t>
      </w:r>
      <w:r>
        <w:rPr>
          <w:rFonts w:hint="eastAsia" w:ascii="Times New Roman" w:hAnsi="Times New Roman" w:eastAsia="仿宋_GB2312"/>
          <w:sz w:val="32"/>
          <w:szCs w:val="32"/>
        </w:rPr>
        <w:t>，主动为合肥都市圈大型企业提供产品配套。主动对接合肥科技创新资源，支持</w:t>
      </w:r>
      <w:r>
        <w:rPr>
          <w:rFonts w:ascii="Times New Roman" w:hAnsi="Times New Roman" w:eastAsia="仿宋_GB2312"/>
          <w:sz w:val="32"/>
          <w:szCs w:val="32"/>
        </w:rPr>
        <w:t>企业与合肥大院大所开展</w:t>
      </w:r>
      <w:r>
        <w:rPr>
          <w:rFonts w:hint="eastAsia" w:ascii="Times New Roman" w:hAnsi="Times New Roman" w:eastAsia="仿宋_GB2312"/>
          <w:sz w:val="32"/>
          <w:szCs w:val="32"/>
        </w:rPr>
        <w:t>战略</w:t>
      </w:r>
      <w:r>
        <w:rPr>
          <w:rFonts w:ascii="Times New Roman" w:hAnsi="Times New Roman" w:eastAsia="仿宋_GB2312"/>
          <w:sz w:val="32"/>
          <w:szCs w:val="32"/>
        </w:rPr>
        <w:t>合作</w:t>
      </w:r>
      <w:r>
        <w:rPr>
          <w:rFonts w:hint="eastAsia" w:ascii="Times New Roman" w:hAnsi="Times New Roman" w:eastAsia="仿宋_GB2312"/>
          <w:sz w:val="32"/>
          <w:szCs w:val="32"/>
        </w:rPr>
        <w:t>，在我市共建成果转化基地、实验实习基地。</w:t>
      </w:r>
      <w:r>
        <w:rPr>
          <w:rFonts w:hint="eastAsia" w:ascii="Times New Roman" w:hAnsi="Times New Roman" w:eastAsia="仿宋_GB2312"/>
          <w:sz w:val="34"/>
          <w:szCs w:val="34"/>
        </w:rPr>
        <w:t>强化教育、卫生、文化旅游等领域融入力度。</w:t>
      </w:r>
      <w:r>
        <w:rPr>
          <w:rFonts w:hint="eastAsia" w:ascii="Times New Roman" w:hAnsi="Times New Roman" w:eastAsia="仿宋_GB2312"/>
          <w:sz w:val="32"/>
          <w:szCs w:val="32"/>
        </w:rPr>
        <w:t>突出</w:t>
      </w:r>
      <w:r>
        <w:rPr>
          <w:rFonts w:ascii="Times New Roman" w:hAnsi="Times New Roman" w:eastAsia="仿宋_GB2312"/>
          <w:sz w:val="32"/>
          <w:szCs w:val="32"/>
        </w:rPr>
        <w:t>桐城生态</w:t>
      </w:r>
      <w:r>
        <w:rPr>
          <w:rFonts w:hint="eastAsia" w:ascii="Times New Roman" w:hAnsi="Times New Roman" w:eastAsia="仿宋_GB2312"/>
          <w:sz w:val="32"/>
          <w:szCs w:val="32"/>
        </w:rPr>
        <w:t>与</w:t>
      </w:r>
      <w:r>
        <w:rPr>
          <w:rFonts w:ascii="Times New Roman" w:hAnsi="Times New Roman" w:eastAsia="仿宋_GB2312"/>
          <w:sz w:val="32"/>
          <w:szCs w:val="32"/>
        </w:rPr>
        <w:t>人文优势</w:t>
      </w:r>
      <w:r>
        <w:rPr>
          <w:rFonts w:hint="eastAsia" w:ascii="Times New Roman" w:hAnsi="Times New Roman" w:eastAsia="仿宋_GB2312"/>
          <w:sz w:val="32"/>
          <w:szCs w:val="32"/>
        </w:rPr>
        <w:t>，</w:t>
      </w:r>
      <w:r>
        <w:rPr>
          <w:rFonts w:ascii="Times New Roman" w:hAnsi="Times New Roman" w:eastAsia="仿宋_GB2312"/>
          <w:sz w:val="32"/>
          <w:szCs w:val="32"/>
        </w:rPr>
        <w:t>打造合肥都市圈文化休闲旅游</w:t>
      </w:r>
      <w:r>
        <w:rPr>
          <w:rFonts w:hint="eastAsia" w:ascii="Times New Roman" w:hAnsi="Times New Roman" w:eastAsia="仿宋_GB2312"/>
          <w:sz w:val="32"/>
          <w:szCs w:val="32"/>
        </w:rPr>
        <w:t>“后花园”</w:t>
      </w:r>
      <w:r>
        <w:rPr>
          <w:rFonts w:ascii="Times New Roman" w:hAnsi="Times New Roman" w:eastAsia="仿宋_GB2312"/>
          <w:sz w:val="32"/>
          <w:szCs w:val="32"/>
        </w:rPr>
        <w:t>。</w:t>
      </w:r>
    </w:p>
    <w:p w14:paraId="32EEAA72">
      <w:pPr>
        <w:spacing w:before="100" w:beforeAutospacing="1" w:after="100" w:afterAutospacing="1"/>
        <w:jc w:val="center"/>
        <w:outlineLvl w:val="1"/>
        <w:rPr>
          <w:rFonts w:ascii="Times New Roman" w:hAnsi="Times New Roman" w:eastAsia="黑体"/>
          <w:sz w:val="32"/>
          <w:szCs w:val="32"/>
        </w:rPr>
      </w:pPr>
      <w:bookmarkStart w:id="57" w:name="_Toc53003450"/>
      <w:bookmarkStart w:id="58" w:name="_Toc53004295"/>
      <w:bookmarkStart w:id="59" w:name="_Toc18772"/>
      <w:r>
        <w:rPr>
          <w:rFonts w:ascii="Times New Roman" w:hAnsi="Times New Roman" w:eastAsia="黑体"/>
          <w:sz w:val="32"/>
          <w:szCs w:val="32"/>
        </w:rPr>
        <w:t>第</w:t>
      </w:r>
      <w:r>
        <w:rPr>
          <w:rFonts w:hint="eastAsia" w:ascii="Times New Roman" w:hAnsi="Times New Roman" w:eastAsia="黑体"/>
          <w:sz w:val="32"/>
          <w:szCs w:val="32"/>
        </w:rPr>
        <w:t>四</w:t>
      </w:r>
      <w:r>
        <w:rPr>
          <w:rFonts w:ascii="Times New Roman" w:hAnsi="Times New Roman" w:eastAsia="黑体"/>
          <w:sz w:val="32"/>
          <w:szCs w:val="32"/>
        </w:rPr>
        <w:t>节</w:t>
      </w:r>
      <w:bookmarkEnd w:id="57"/>
      <w:bookmarkEnd w:id="58"/>
      <w:r>
        <w:rPr>
          <w:rFonts w:hint="eastAsia" w:ascii="Times New Roman" w:hAnsi="Times New Roman" w:eastAsia="黑体"/>
          <w:sz w:val="32"/>
          <w:szCs w:val="32"/>
          <w:lang w:val="en-US" w:eastAsia="zh-CN"/>
        </w:rPr>
        <w:t xml:space="preserve"> </w:t>
      </w:r>
      <w:r>
        <w:rPr>
          <w:rFonts w:hint="eastAsia" w:ascii="Times New Roman" w:hAnsi="Times New Roman" w:eastAsia="黑体"/>
          <w:sz w:val="32"/>
          <w:szCs w:val="32"/>
        </w:rPr>
        <w:t>积极融入长三角一体化发展</w:t>
      </w:r>
      <w:bookmarkEnd w:id="59"/>
    </w:p>
    <w:p w14:paraId="1BDEA0C1">
      <w:pPr>
        <w:ind w:firstLine="643" w:firstLineChars="200"/>
        <w:rPr>
          <w:rFonts w:ascii="Times New Roman" w:hAnsi="Times New Roman" w:eastAsia="仿宋_GB2312"/>
          <w:sz w:val="32"/>
          <w:szCs w:val="32"/>
        </w:rPr>
      </w:pPr>
      <w:r>
        <w:rPr>
          <w:rFonts w:ascii="Times New Roman" w:hAnsi="Times New Roman" w:eastAsia="仿宋_GB2312"/>
          <w:b/>
          <w:sz w:val="32"/>
          <w:szCs w:val="32"/>
        </w:rPr>
        <w:t>全面加强等高对接。</w:t>
      </w:r>
      <w:r>
        <w:rPr>
          <w:rFonts w:hint="eastAsia" w:ascii="Times New Roman" w:hAnsi="Times New Roman" w:eastAsia="仿宋_GB2312"/>
          <w:sz w:val="32"/>
          <w:szCs w:val="32"/>
        </w:rPr>
        <w:t>统筹推进基础设施、产业链创新链、生态环保、公共服务等重点领域与长三角的互联互通、合作共享，切实提升一体化发展水平。积极推动巢马城际西延至桐城，打通直连沪苏浙的快速通道，全面融入“轨道上的长三角”。加强与江淮运河沿线城市合作共建，打造长三角重要的绿色生态廊道和生态产业带。主动寻求与沪苏浙关联产业和重大企业合作，</w:t>
      </w:r>
      <w:r>
        <w:rPr>
          <w:rFonts w:ascii="Times New Roman" w:hAnsi="Times New Roman" w:eastAsia="仿宋_GB2312"/>
          <w:sz w:val="32"/>
          <w:szCs w:val="32"/>
        </w:rPr>
        <w:t>导入创新人才、创新成果、科技金融等创新资源，</w:t>
      </w:r>
      <w:r>
        <w:rPr>
          <w:rFonts w:hint="eastAsia" w:ascii="Times New Roman" w:hAnsi="Times New Roman" w:eastAsia="仿宋_GB2312"/>
          <w:sz w:val="32"/>
          <w:szCs w:val="32"/>
        </w:rPr>
        <w:t>高质量承接沪苏浙地区产业转移。选择沪苏浙1到2个县市建立</w:t>
      </w:r>
      <w:r>
        <w:rPr>
          <w:rFonts w:hint="eastAsia" w:ascii="Times New Roman" w:hAnsi="Times New Roman" w:eastAsia="仿宋_GB2312"/>
          <w:sz w:val="32"/>
          <w:szCs w:val="32"/>
          <w:lang w:val="en-US" w:eastAsia="zh-CN"/>
        </w:rPr>
        <w:t>友好县区</w:t>
      </w:r>
      <w:r>
        <w:rPr>
          <w:rFonts w:hint="eastAsia" w:ascii="Times New Roman" w:hAnsi="Times New Roman" w:eastAsia="仿宋_GB2312"/>
          <w:sz w:val="32"/>
          <w:szCs w:val="32"/>
        </w:rPr>
        <w:t>，选派优秀年轻干部赴长三角发达地区挂职锻炼，定期组织考察学习，提升营商环境与公共服务，努力构建与长三角无差别的软环境。</w:t>
      </w:r>
    </w:p>
    <w:p w14:paraId="0AEF4EAB">
      <w:pPr>
        <w:ind w:firstLine="643" w:firstLineChars="200"/>
        <w:rPr>
          <w:rFonts w:ascii="Times New Roman" w:hAnsi="Times New Roman"/>
          <w:sz w:val="32"/>
          <w:szCs w:val="32"/>
        </w:rPr>
      </w:pPr>
      <w:r>
        <w:rPr>
          <w:rFonts w:ascii="Times New Roman" w:hAnsi="Times New Roman" w:eastAsia="仿宋_GB2312"/>
          <w:b/>
          <w:sz w:val="32"/>
          <w:szCs w:val="32"/>
        </w:rPr>
        <w:t>加快</w:t>
      </w:r>
      <w:r>
        <w:rPr>
          <w:rFonts w:hint="eastAsia" w:ascii="Times New Roman" w:hAnsi="Times New Roman" w:eastAsia="仿宋_GB2312"/>
          <w:b/>
          <w:sz w:val="32"/>
          <w:szCs w:val="32"/>
        </w:rPr>
        <w:t>园区合作共建</w:t>
      </w:r>
      <w:r>
        <w:rPr>
          <w:rFonts w:ascii="Times New Roman" w:hAnsi="Times New Roman" w:eastAsia="仿宋_GB2312"/>
          <w:b/>
          <w:sz w:val="32"/>
          <w:szCs w:val="32"/>
        </w:rPr>
        <w:t>。</w:t>
      </w:r>
      <w:r>
        <w:rPr>
          <w:rFonts w:hint="eastAsia" w:ascii="Times New Roman" w:hAnsi="Times New Roman" w:eastAsia="仿宋_GB2312"/>
          <w:sz w:val="32"/>
          <w:szCs w:val="32"/>
        </w:rPr>
        <w:t>鼓励桐城经开区与沪苏浙产业园区开展战略合作，重点推进与南京、昆山、上海临港等开发区合作建设跨省承接产业转移园区。探索建立跨区域产业转移、园区合作共建的成本分担和利益共享机制、税收利益分配机制和征管协调机制，通过“飞地经济”“总部—生产基地”产业链合作、整体搬迁等多种模式，开展产业对接合作。精准发力“基金+基地”“投资+服务”新兴产业招商和培育模式，引导沪苏浙创新成果转化项目落地。</w:t>
      </w:r>
      <w:r>
        <w:br w:type="page"/>
      </w:r>
    </w:p>
    <w:p w14:paraId="6C3EEB3C">
      <w:pPr>
        <w:pStyle w:val="3"/>
        <w:spacing w:before="100" w:beforeAutospacing="1" w:after="100" w:afterAutospacing="1"/>
        <w:jc w:val="center"/>
        <w:rPr>
          <w:rFonts w:eastAsia="方正小标宋简体"/>
        </w:rPr>
      </w:pPr>
      <w:bookmarkStart w:id="60" w:name="_Toc53003439"/>
      <w:bookmarkStart w:id="61" w:name="_Toc26026"/>
      <w:r>
        <w:rPr>
          <w:rFonts w:hint="eastAsia" w:eastAsia="方正小标宋简体"/>
        </w:rPr>
        <w:t>推进乡村振兴</w:t>
      </w:r>
      <w:r>
        <w:rPr>
          <w:rFonts w:eastAsia="方正小标宋简体"/>
        </w:rPr>
        <w:t>，</w:t>
      </w:r>
      <w:bookmarkEnd w:id="60"/>
      <w:r>
        <w:rPr>
          <w:rFonts w:hint="eastAsia" w:eastAsia="方正小标宋简体"/>
        </w:rPr>
        <w:t>提升农业农村现代化水平</w:t>
      </w:r>
      <w:bookmarkEnd w:id="61"/>
    </w:p>
    <w:p w14:paraId="56228112">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充分认识新发展阶段做好“三农”工作的重要性和紧迫性，坚持把解决好“三农”问题放在重中之重位置，以乡村产业提质、生态环境提优、乡风文明提升、乡村治理提效、民生保障提档、基层党建提标“六大行动”为抓手，实施乡村振兴示范工程，促进农业高质高效、乡村宜居宜业、农民富裕富足。</w:t>
      </w:r>
    </w:p>
    <w:p w14:paraId="2A8C078A">
      <w:pPr>
        <w:spacing w:before="100" w:beforeAutospacing="1" w:after="100" w:afterAutospacing="1"/>
        <w:jc w:val="center"/>
        <w:outlineLvl w:val="1"/>
        <w:rPr>
          <w:rFonts w:ascii="Times New Roman" w:hAnsi="Times New Roman" w:eastAsia="黑体"/>
          <w:sz w:val="32"/>
          <w:szCs w:val="32"/>
        </w:rPr>
      </w:pPr>
      <w:bookmarkStart w:id="62" w:name="_Toc53003440"/>
      <w:bookmarkStart w:id="63" w:name="_Toc53004285"/>
      <w:bookmarkStart w:id="64" w:name="_Toc28614"/>
      <w:r>
        <w:rPr>
          <w:rFonts w:ascii="Times New Roman" w:hAnsi="Times New Roman" w:eastAsia="黑体"/>
          <w:sz w:val="32"/>
          <w:szCs w:val="32"/>
        </w:rPr>
        <w:t>第一节</w:t>
      </w:r>
      <w:bookmarkEnd w:id="62"/>
      <w:bookmarkEnd w:id="63"/>
      <w:r>
        <w:rPr>
          <w:rFonts w:hint="eastAsia" w:ascii="Times New Roman" w:hAnsi="Times New Roman" w:eastAsia="黑体"/>
          <w:sz w:val="32"/>
          <w:szCs w:val="32"/>
          <w:lang w:val="en-US" w:eastAsia="zh-CN"/>
        </w:rPr>
        <w:t xml:space="preserve"> </w:t>
      </w:r>
      <w:r>
        <w:rPr>
          <w:rFonts w:hint="eastAsia" w:ascii="Times New Roman" w:hAnsi="Times New Roman" w:eastAsia="黑体"/>
          <w:sz w:val="32"/>
          <w:szCs w:val="32"/>
        </w:rPr>
        <w:t>提高</w:t>
      </w:r>
      <w:r>
        <w:rPr>
          <w:rFonts w:ascii="Times New Roman" w:hAnsi="Times New Roman" w:eastAsia="黑体"/>
          <w:sz w:val="32"/>
          <w:szCs w:val="32"/>
        </w:rPr>
        <w:t>农业质量规模效益</w:t>
      </w:r>
      <w:bookmarkEnd w:id="64"/>
    </w:p>
    <w:p w14:paraId="2DD17BB4">
      <w:pPr>
        <w:ind w:firstLine="643" w:firstLineChars="200"/>
        <w:rPr>
          <w:rFonts w:ascii="Times New Roman" w:hAnsi="Times New Roman" w:eastAsia="仿宋_GB2312"/>
          <w:sz w:val="32"/>
          <w:szCs w:val="32"/>
        </w:rPr>
      </w:pPr>
      <w:r>
        <w:rPr>
          <w:rFonts w:ascii="Times New Roman" w:hAnsi="Times New Roman" w:eastAsia="仿宋_GB2312"/>
          <w:b/>
          <w:sz w:val="32"/>
          <w:szCs w:val="32"/>
        </w:rPr>
        <w:t>保障优质农产品高效供给。</w:t>
      </w:r>
      <w:r>
        <w:rPr>
          <w:rFonts w:hint="eastAsia" w:ascii="Times New Roman" w:hAnsi="Times New Roman" w:eastAsia="仿宋_GB2312"/>
          <w:sz w:val="32"/>
          <w:szCs w:val="32"/>
        </w:rPr>
        <w:t>落实农业支持保护政策和最严格的耕地保护制度，</w:t>
      </w:r>
      <w:r>
        <w:rPr>
          <w:rFonts w:ascii="Times New Roman" w:hAnsi="Times New Roman" w:eastAsia="仿宋_GB2312"/>
          <w:sz w:val="32"/>
          <w:szCs w:val="32"/>
        </w:rPr>
        <w:t>加</w:t>
      </w:r>
      <w:r>
        <w:rPr>
          <w:rFonts w:hint="eastAsia" w:ascii="Times New Roman" w:hAnsi="Times New Roman" w:eastAsia="仿宋_GB2312"/>
          <w:sz w:val="32"/>
          <w:szCs w:val="32"/>
        </w:rPr>
        <w:t>快</w:t>
      </w:r>
      <w:r>
        <w:rPr>
          <w:rFonts w:ascii="Times New Roman" w:hAnsi="Times New Roman" w:eastAsia="仿宋_GB2312"/>
          <w:sz w:val="32"/>
          <w:szCs w:val="32"/>
        </w:rPr>
        <w:t>粮食生产功能区和重要农产品生产保护区建设</w:t>
      </w:r>
      <w:r>
        <w:rPr>
          <w:rFonts w:hint="eastAsia" w:ascii="Times New Roman" w:hAnsi="Times New Roman" w:eastAsia="仿宋_GB2312"/>
          <w:sz w:val="32"/>
          <w:szCs w:val="32"/>
        </w:rPr>
        <w:t>，实施“皖粮”高标准农田提升工程，加快农田水利“最后一公里”建设，实现“藏粮于地”，提升粮食安全保障能力。加快建设优质规模农产品原料基地</w:t>
      </w:r>
      <w:r>
        <w:rPr>
          <w:rFonts w:ascii="Times New Roman" w:hAnsi="Times New Roman" w:eastAsia="仿宋_GB2312"/>
          <w:sz w:val="32"/>
          <w:szCs w:val="32"/>
        </w:rPr>
        <w:t>，</w:t>
      </w:r>
      <w:r>
        <w:rPr>
          <w:rFonts w:hint="eastAsia" w:ascii="Times New Roman" w:hAnsi="Times New Roman" w:eastAsia="仿宋_GB2312"/>
          <w:sz w:val="32"/>
          <w:szCs w:val="32"/>
        </w:rPr>
        <w:t>提高</w:t>
      </w:r>
      <w:r>
        <w:rPr>
          <w:rFonts w:ascii="Times New Roman" w:hAnsi="Times New Roman" w:eastAsia="仿宋_GB2312"/>
          <w:sz w:val="32"/>
          <w:szCs w:val="32"/>
        </w:rPr>
        <w:t>粮油、畜禽水产、蔬菜、茶叶、蚕桑、蜂蜜等优质农产品供给质量。瞄准长三角和合肥都市圈消费升级趋势，大力发展绿色、健康、优质农产品</w:t>
      </w:r>
      <w:r>
        <w:rPr>
          <w:rFonts w:hint="eastAsia" w:ascii="Times New Roman" w:hAnsi="Times New Roman" w:eastAsia="仿宋_GB2312"/>
          <w:sz w:val="32"/>
          <w:szCs w:val="32"/>
        </w:rPr>
        <w:t>，</w:t>
      </w:r>
      <w:r>
        <w:rPr>
          <w:rFonts w:ascii="Times New Roman" w:hAnsi="Times New Roman" w:eastAsia="仿宋_GB2312"/>
          <w:sz w:val="32"/>
          <w:szCs w:val="32"/>
        </w:rPr>
        <w:t>重点引进和培育一批产业链条长、产品附加值高、品牌影响力大、带动</w:t>
      </w:r>
      <w:r>
        <w:rPr>
          <w:rFonts w:hint="eastAsia" w:ascii="Times New Roman" w:hAnsi="Times New Roman" w:eastAsia="仿宋_GB2312"/>
          <w:sz w:val="32"/>
          <w:szCs w:val="32"/>
          <w:lang w:val="en-US" w:eastAsia="zh-CN"/>
        </w:rPr>
        <w:t>能力</w:t>
      </w:r>
      <w:r>
        <w:rPr>
          <w:rFonts w:ascii="Times New Roman" w:hAnsi="Times New Roman" w:eastAsia="仿宋_GB2312"/>
          <w:sz w:val="32"/>
          <w:szCs w:val="32"/>
        </w:rPr>
        <w:t>强的大型农业产业化龙头企业，</w:t>
      </w:r>
      <w:r>
        <w:rPr>
          <w:rFonts w:hint="eastAsia" w:ascii="Times New Roman" w:hAnsi="Times New Roman" w:eastAsia="仿宋_GB2312"/>
          <w:sz w:val="32"/>
          <w:szCs w:val="32"/>
          <w:lang w:val="en-US" w:eastAsia="zh-CN"/>
        </w:rPr>
        <w:t>建设</w:t>
      </w:r>
      <w:r>
        <w:rPr>
          <w:rFonts w:ascii="Times New Roman" w:hAnsi="Times New Roman" w:eastAsia="仿宋_GB2312"/>
          <w:sz w:val="32"/>
          <w:szCs w:val="32"/>
        </w:rPr>
        <w:t>长三角高品质农产品生产加工供应示范基地。做大做强“桐城锌米”“桐城小花”“桐城蛋鸭”“桐城羽绒”等区域农产品公共品牌</w:t>
      </w:r>
      <w:r>
        <w:rPr>
          <w:rFonts w:hint="eastAsia" w:ascii="Times New Roman" w:hAnsi="Times New Roman" w:eastAsia="仿宋_GB2312"/>
          <w:sz w:val="32"/>
          <w:szCs w:val="32"/>
        </w:rPr>
        <w:t>，</w:t>
      </w:r>
      <w:r>
        <w:rPr>
          <w:rFonts w:ascii="Times New Roman" w:hAnsi="Times New Roman" w:eastAsia="仿宋_GB2312"/>
          <w:sz w:val="32"/>
          <w:szCs w:val="32"/>
        </w:rPr>
        <w:t>加快培育和创建一批在国内外有较大影响力的知名农业品牌。到2025年，培育20个以上名牌农产品，“三品一标”农产品总数达</w:t>
      </w:r>
      <w:r>
        <w:rPr>
          <w:rFonts w:hint="eastAsia" w:ascii="Times New Roman" w:hAnsi="Times New Roman" w:eastAsia="仿宋_GB2312"/>
          <w:sz w:val="32"/>
          <w:szCs w:val="32"/>
          <w:lang w:val="en-US" w:eastAsia="zh-CN"/>
        </w:rPr>
        <w:t>270</w:t>
      </w:r>
      <w:r>
        <w:rPr>
          <w:rFonts w:ascii="Times New Roman" w:hAnsi="Times New Roman" w:eastAsia="仿宋_GB2312"/>
          <w:sz w:val="32"/>
          <w:szCs w:val="32"/>
        </w:rPr>
        <w:t>个。</w:t>
      </w:r>
    </w:p>
    <w:p w14:paraId="433B629B">
      <w:pPr>
        <w:ind w:firstLine="643" w:firstLineChars="200"/>
        <w:rPr>
          <w:rFonts w:ascii="Times New Roman" w:hAnsi="Times New Roman" w:eastAsia="仿宋_GB2312"/>
          <w:sz w:val="32"/>
          <w:szCs w:val="32"/>
        </w:rPr>
      </w:pPr>
      <w:r>
        <w:rPr>
          <w:rFonts w:ascii="Times New Roman" w:hAnsi="Times New Roman" w:eastAsia="仿宋_GB2312"/>
          <w:b/>
          <w:sz w:val="32"/>
          <w:szCs w:val="32"/>
        </w:rPr>
        <w:t>优化农业产业结构和布局。</w:t>
      </w:r>
      <w:r>
        <w:rPr>
          <w:rFonts w:ascii="Times New Roman" w:hAnsi="Times New Roman" w:eastAsia="仿宋_GB2312"/>
          <w:sz w:val="32"/>
          <w:szCs w:val="32"/>
        </w:rPr>
        <w:t>以特色粮经作物、特色园艺产品、特色畜</w:t>
      </w:r>
      <w:r>
        <w:rPr>
          <w:rFonts w:hint="eastAsia" w:ascii="Times New Roman" w:hAnsi="Times New Roman" w:eastAsia="仿宋_GB2312"/>
          <w:sz w:val="32"/>
          <w:szCs w:val="32"/>
          <w:lang w:eastAsia="zh-CN"/>
        </w:rPr>
        <w:t>禽</w:t>
      </w:r>
      <w:r>
        <w:rPr>
          <w:rFonts w:ascii="Times New Roman" w:hAnsi="Times New Roman" w:eastAsia="仿宋_GB2312"/>
          <w:sz w:val="32"/>
          <w:szCs w:val="32"/>
        </w:rPr>
        <w:t>产品、特色水产品、林特产品、富锌农业等为发展重点，有序开发优势特色资源，做大做强优势特色产业</w:t>
      </w:r>
      <w:r>
        <w:rPr>
          <w:rFonts w:hint="eastAsia" w:ascii="Times New Roman" w:hAnsi="Times New Roman" w:eastAsia="仿宋_GB2312"/>
          <w:sz w:val="32"/>
          <w:szCs w:val="32"/>
        </w:rPr>
        <w:t>。重点建设桐城现代农业产业园、桐城水禽羽绒产业园、现代智慧农业产业园、新希望生猪产业一体化生态产业园等产业园区，做强做优南部</w:t>
      </w:r>
      <w:r>
        <w:rPr>
          <w:rFonts w:ascii="Times New Roman" w:hAnsi="Times New Roman" w:eastAsia="仿宋_GB2312"/>
          <w:sz w:val="32"/>
          <w:szCs w:val="32"/>
        </w:rPr>
        <w:t>优质粮油生产区</w:t>
      </w:r>
      <w:r>
        <w:rPr>
          <w:rFonts w:hint="eastAsia" w:ascii="Times New Roman" w:hAnsi="Times New Roman" w:eastAsia="仿宋_GB2312"/>
          <w:sz w:val="32"/>
          <w:szCs w:val="32"/>
        </w:rPr>
        <w:t>、北部</w:t>
      </w:r>
      <w:r>
        <w:rPr>
          <w:rFonts w:ascii="Times New Roman" w:hAnsi="Times New Roman" w:eastAsia="仿宋_GB2312"/>
          <w:sz w:val="32"/>
          <w:szCs w:val="32"/>
        </w:rPr>
        <w:t>生</w:t>
      </w:r>
      <w:r>
        <w:rPr>
          <w:rFonts w:hint="eastAsia" w:ascii="Times New Roman" w:hAnsi="Times New Roman" w:eastAsia="仿宋_GB2312"/>
          <w:sz w:val="32"/>
          <w:szCs w:val="32"/>
        </w:rPr>
        <w:t>态养殖集中区、西部茶叶特色优势区、东部农文旅融合示范区。重点</w:t>
      </w:r>
      <w:r>
        <w:rPr>
          <w:rFonts w:ascii="Times New Roman" w:hAnsi="Times New Roman" w:eastAsia="仿宋_GB2312"/>
          <w:sz w:val="32"/>
          <w:szCs w:val="32"/>
        </w:rPr>
        <w:t>打造沿河</w:t>
      </w:r>
      <w:r>
        <w:rPr>
          <w:rFonts w:hint="eastAsia" w:ascii="Times New Roman" w:hAnsi="Times New Roman" w:eastAsia="仿宋_GB2312"/>
          <w:sz w:val="32"/>
          <w:szCs w:val="32"/>
          <w:lang w:val="en-US" w:eastAsia="zh-CN"/>
        </w:rPr>
        <w:t>区域</w:t>
      </w:r>
      <w:r>
        <w:rPr>
          <w:rFonts w:ascii="Times New Roman" w:hAnsi="Times New Roman" w:eastAsia="仿宋_GB2312"/>
          <w:sz w:val="32"/>
          <w:szCs w:val="32"/>
        </w:rPr>
        <w:t>富锌大米基地、沿湖圩区双低油菜基地、龙眠山区优质油茶基地、城郊设施蔬菜基地、范岗双港特色水生蔬菜基地、</w:t>
      </w:r>
      <w:r>
        <w:rPr>
          <w:rFonts w:hint="eastAsia" w:ascii="Times New Roman" w:hAnsi="Times New Roman" w:eastAsia="仿宋_GB2312"/>
          <w:sz w:val="32"/>
          <w:szCs w:val="32"/>
        </w:rPr>
        <w:t>双港金神孔城</w:t>
      </w:r>
      <w:r>
        <w:rPr>
          <w:rFonts w:ascii="Times New Roman" w:hAnsi="Times New Roman" w:eastAsia="仿宋_GB2312"/>
          <w:sz w:val="32"/>
          <w:szCs w:val="32"/>
        </w:rPr>
        <w:t>稻渔综合种养基地、大关畜禽</w:t>
      </w:r>
      <w:r>
        <w:rPr>
          <w:rFonts w:hint="eastAsia" w:ascii="Times New Roman" w:hAnsi="Times New Roman" w:eastAsia="仿宋_GB2312"/>
          <w:sz w:val="32"/>
          <w:szCs w:val="32"/>
          <w:lang w:val="en-US" w:eastAsia="zh-CN"/>
        </w:rPr>
        <w:t>生态</w:t>
      </w:r>
      <w:r>
        <w:rPr>
          <w:rFonts w:ascii="Times New Roman" w:hAnsi="Times New Roman" w:eastAsia="仿宋_GB2312"/>
          <w:sz w:val="32"/>
          <w:szCs w:val="32"/>
        </w:rPr>
        <w:t>循环养殖基地、唐湾黄甲桐城小花基地、孔城苗木花卉基地、范岗智慧农业产业基地等10大特色农业基地。</w:t>
      </w:r>
    </w:p>
    <w:p w14:paraId="124D319F">
      <w:pPr>
        <w:pStyle w:val="2"/>
      </w:pPr>
    </w:p>
    <w:tbl>
      <w:tblPr>
        <w:tblStyle w:val="38"/>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22"/>
      </w:tblGrid>
      <w:tr w14:paraId="6D6550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Pr>
          <w:p w14:paraId="00DD5171">
            <w:pPr>
              <w:tabs>
                <w:tab w:val="left" w:pos="540"/>
              </w:tabs>
              <w:snapToGrid w:val="0"/>
              <w:spacing w:line="360" w:lineRule="auto"/>
              <w:jc w:val="center"/>
              <w:rPr>
                <w:rFonts w:ascii="楷体" w:hAnsi="楷体" w:eastAsia="楷体" w:cs="仿宋_GB2312"/>
                <w:b/>
                <w:sz w:val="30"/>
                <w:szCs w:val="30"/>
                <w:lang w:val="zh-CN"/>
              </w:rPr>
            </w:pPr>
            <w:r>
              <w:rPr>
                <w:rFonts w:ascii="楷体" w:hAnsi="楷体" w:eastAsia="楷体" w:cs="仿宋_GB2312"/>
                <w:b/>
                <w:sz w:val="30"/>
                <w:szCs w:val="30"/>
                <w:lang w:val="zh-CN"/>
              </w:rPr>
              <w:t>专栏</w:t>
            </w:r>
            <w:r>
              <w:rPr>
                <w:rFonts w:hint="eastAsia" w:ascii="楷体" w:hAnsi="楷体" w:eastAsia="楷体" w:cs="仿宋_GB2312"/>
                <w:b/>
                <w:sz w:val="30"/>
                <w:szCs w:val="30"/>
                <w:lang w:val="en-US" w:eastAsia="zh-CN"/>
              </w:rPr>
              <w:t>9：</w:t>
            </w:r>
            <w:r>
              <w:rPr>
                <w:rFonts w:ascii="楷体" w:hAnsi="楷体" w:eastAsia="楷体" w:cs="仿宋_GB2312"/>
                <w:b/>
                <w:sz w:val="30"/>
                <w:szCs w:val="30"/>
                <w:lang w:val="zh-CN"/>
              </w:rPr>
              <w:t xml:space="preserve"> 农业产业布局</w:t>
            </w:r>
          </w:p>
          <w:p w14:paraId="0EE18DA6">
            <w:pPr>
              <w:spacing w:line="400" w:lineRule="exact"/>
              <w:ind w:firstLine="562" w:firstLineChars="200"/>
              <w:rPr>
                <w:rFonts w:ascii="仿宋_GB2312" w:hAnsi="Times New Roman" w:eastAsia="仿宋_GB2312"/>
                <w:bCs/>
                <w:sz w:val="28"/>
                <w:szCs w:val="28"/>
                <w:highlight w:val="yellow"/>
              </w:rPr>
            </w:pPr>
            <w:r>
              <w:rPr>
                <w:rFonts w:hint="eastAsia" w:ascii="仿宋_GB2312" w:hAnsi="Times New Roman" w:eastAsia="仿宋_GB2312"/>
                <w:b/>
                <w:bCs/>
                <w:sz w:val="28"/>
                <w:szCs w:val="28"/>
              </w:rPr>
              <w:t>“四区”产业格局。</w:t>
            </w:r>
            <w:r>
              <w:rPr>
                <w:rFonts w:hint="eastAsia" w:ascii="仿宋_GB2312" w:hAnsi="Times New Roman" w:eastAsia="仿宋_GB2312"/>
                <w:bCs/>
                <w:sz w:val="28"/>
                <w:szCs w:val="28"/>
              </w:rPr>
              <w:t>以范岗、金神、新渡、双港、青草等镇为主的南部优质粮油生产区，以大关、吕亭等镇为主的北部生态养殖集中区，以唐湾、黄甲、龙眠等镇为主的西部茶叶特色优势区、以嬉子湖、孔城等为主的东部农文旅融合示范区</w:t>
            </w:r>
          </w:p>
          <w:p w14:paraId="767E74A2">
            <w:pPr>
              <w:spacing w:line="400" w:lineRule="exact"/>
              <w:ind w:firstLine="562" w:firstLineChars="200"/>
              <w:rPr>
                <w:rFonts w:hint="eastAsia" w:ascii="仿宋_GB2312" w:hAnsi="Times New Roman" w:eastAsia="仿宋_GB2312"/>
                <w:bCs/>
                <w:sz w:val="28"/>
                <w:szCs w:val="28"/>
                <w:lang w:eastAsia="zh-CN"/>
              </w:rPr>
            </w:pPr>
            <w:r>
              <w:rPr>
                <w:rFonts w:hint="eastAsia" w:ascii="仿宋_GB2312" w:hAnsi="Times New Roman" w:eastAsia="仿宋_GB2312"/>
                <w:b/>
                <w:bCs/>
                <w:sz w:val="28"/>
                <w:szCs w:val="28"/>
              </w:rPr>
              <w:t>10大特色产业基地。</w:t>
            </w:r>
            <w:r>
              <w:rPr>
                <w:rFonts w:hint="eastAsia" w:ascii="仿宋_GB2312" w:hAnsi="Times New Roman" w:eastAsia="仿宋_GB2312"/>
                <w:bCs/>
                <w:sz w:val="28"/>
                <w:szCs w:val="28"/>
              </w:rPr>
              <w:t>沿河</w:t>
            </w:r>
            <w:r>
              <w:rPr>
                <w:rFonts w:hint="eastAsia" w:ascii="仿宋_GB2312" w:hAnsi="Times New Roman" w:eastAsia="仿宋_GB2312"/>
                <w:bCs/>
                <w:sz w:val="28"/>
                <w:szCs w:val="28"/>
                <w:lang w:eastAsia="zh-CN"/>
              </w:rPr>
              <w:t>区域</w:t>
            </w:r>
            <w:r>
              <w:rPr>
                <w:rFonts w:hint="eastAsia" w:ascii="仿宋_GB2312" w:hAnsi="Times New Roman" w:eastAsia="仿宋_GB2312"/>
                <w:bCs/>
                <w:sz w:val="28"/>
                <w:szCs w:val="28"/>
              </w:rPr>
              <w:t>富锌大米基地</w:t>
            </w:r>
            <w:r>
              <w:rPr>
                <w:rFonts w:hint="eastAsia" w:ascii="仿宋_GB2312" w:hAnsi="Times New Roman" w:eastAsia="仿宋_GB2312"/>
                <w:bCs/>
                <w:sz w:val="28"/>
                <w:szCs w:val="28"/>
                <w:lang w:eastAsia="zh-CN"/>
              </w:rPr>
              <w:t>、</w:t>
            </w:r>
            <w:r>
              <w:rPr>
                <w:rFonts w:hint="eastAsia" w:ascii="仿宋_GB2312" w:hAnsi="Times New Roman" w:eastAsia="仿宋_GB2312"/>
                <w:bCs/>
                <w:sz w:val="28"/>
                <w:szCs w:val="28"/>
              </w:rPr>
              <w:t>沿湖圩区双低油菜基地</w:t>
            </w:r>
            <w:r>
              <w:rPr>
                <w:rFonts w:hint="eastAsia" w:ascii="仿宋_GB2312" w:hAnsi="Times New Roman" w:eastAsia="仿宋_GB2312"/>
                <w:bCs/>
                <w:sz w:val="28"/>
                <w:szCs w:val="28"/>
                <w:lang w:eastAsia="zh-CN"/>
              </w:rPr>
              <w:t>、</w:t>
            </w:r>
            <w:r>
              <w:rPr>
                <w:rFonts w:hint="eastAsia" w:ascii="仿宋_GB2312" w:hAnsi="Times New Roman" w:eastAsia="仿宋_GB2312"/>
                <w:bCs/>
                <w:sz w:val="28"/>
                <w:szCs w:val="28"/>
              </w:rPr>
              <w:t>龙眠山区优质油茶基地</w:t>
            </w:r>
            <w:r>
              <w:rPr>
                <w:rFonts w:hint="eastAsia" w:ascii="仿宋_GB2312" w:hAnsi="Times New Roman" w:eastAsia="仿宋_GB2312"/>
                <w:bCs/>
                <w:sz w:val="28"/>
                <w:szCs w:val="28"/>
                <w:lang w:eastAsia="zh-CN"/>
              </w:rPr>
              <w:t>、</w:t>
            </w:r>
            <w:r>
              <w:rPr>
                <w:rFonts w:hint="eastAsia" w:ascii="仿宋_GB2312" w:hAnsi="Times New Roman" w:eastAsia="仿宋_GB2312"/>
                <w:bCs/>
                <w:sz w:val="28"/>
                <w:szCs w:val="28"/>
              </w:rPr>
              <w:t>城郊设施蔬菜基地</w:t>
            </w:r>
            <w:r>
              <w:rPr>
                <w:rFonts w:hint="eastAsia" w:ascii="仿宋_GB2312" w:hAnsi="Times New Roman" w:eastAsia="仿宋_GB2312"/>
                <w:bCs/>
                <w:sz w:val="28"/>
                <w:szCs w:val="28"/>
                <w:lang w:eastAsia="zh-CN"/>
              </w:rPr>
              <w:t>、</w:t>
            </w:r>
            <w:r>
              <w:rPr>
                <w:rFonts w:hint="eastAsia" w:ascii="仿宋_GB2312" w:hAnsi="Times New Roman" w:eastAsia="仿宋_GB2312"/>
                <w:bCs/>
                <w:sz w:val="28"/>
                <w:szCs w:val="28"/>
              </w:rPr>
              <w:t>范岗双港特色水生蔬菜基地</w:t>
            </w:r>
            <w:r>
              <w:rPr>
                <w:rFonts w:hint="eastAsia" w:ascii="仿宋_GB2312" w:hAnsi="Times New Roman" w:eastAsia="仿宋_GB2312"/>
                <w:bCs/>
                <w:sz w:val="28"/>
                <w:szCs w:val="28"/>
                <w:lang w:eastAsia="zh-CN"/>
              </w:rPr>
              <w:t>、</w:t>
            </w:r>
            <w:r>
              <w:rPr>
                <w:rFonts w:hint="eastAsia" w:ascii="仿宋_GB2312" w:hAnsi="Times New Roman" w:eastAsia="仿宋_GB2312"/>
                <w:bCs/>
                <w:sz w:val="28"/>
                <w:szCs w:val="28"/>
              </w:rPr>
              <w:t>双港金神孔城稻渔综合种养基地</w:t>
            </w:r>
            <w:r>
              <w:rPr>
                <w:rFonts w:hint="eastAsia" w:ascii="仿宋_GB2312" w:hAnsi="Times New Roman" w:eastAsia="仿宋_GB2312"/>
                <w:bCs/>
                <w:sz w:val="28"/>
                <w:szCs w:val="28"/>
                <w:lang w:eastAsia="zh-CN"/>
              </w:rPr>
              <w:t>、</w:t>
            </w:r>
            <w:r>
              <w:rPr>
                <w:rFonts w:hint="eastAsia" w:ascii="仿宋_GB2312" w:hAnsi="Times New Roman" w:eastAsia="仿宋_GB2312"/>
                <w:bCs/>
                <w:sz w:val="28"/>
                <w:szCs w:val="28"/>
              </w:rPr>
              <w:t>大关畜禽循环化养殖基地</w:t>
            </w:r>
            <w:r>
              <w:rPr>
                <w:rFonts w:hint="eastAsia" w:ascii="仿宋_GB2312" w:hAnsi="Times New Roman" w:eastAsia="仿宋_GB2312"/>
                <w:bCs/>
                <w:sz w:val="28"/>
                <w:szCs w:val="28"/>
                <w:lang w:eastAsia="zh-CN"/>
              </w:rPr>
              <w:t>、</w:t>
            </w:r>
            <w:r>
              <w:rPr>
                <w:rFonts w:hint="eastAsia" w:ascii="仿宋_GB2312" w:hAnsi="Times New Roman" w:eastAsia="仿宋_GB2312"/>
                <w:bCs/>
                <w:sz w:val="28"/>
                <w:szCs w:val="28"/>
              </w:rPr>
              <w:t>唐湾黄甲桐城小花基地</w:t>
            </w:r>
            <w:r>
              <w:rPr>
                <w:rFonts w:hint="eastAsia" w:ascii="仿宋_GB2312" w:hAnsi="Times New Roman" w:eastAsia="仿宋_GB2312"/>
                <w:bCs/>
                <w:sz w:val="28"/>
                <w:szCs w:val="28"/>
                <w:lang w:eastAsia="zh-CN"/>
              </w:rPr>
              <w:t>、</w:t>
            </w:r>
            <w:r>
              <w:rPr>
                <w:rFonts w:hint="eastAsia" w:ascii="仿宋_GB2312" w:hAnsi="Times New Roman" w:eastAsia="仿宋_GB2312"/>
                <w:bCs/>
                <w:sz w:val="28"/>
                <w:szCs w:val="28"/>
              </w:rPr>
              <w:t>孔城苗木花卉基地</w:t>
            </w:r>
            <w:r>
              <w:rPr>
                <w:rFonts w:hint="eastAsia" w:ascii="仿宋_GB2312" w:hAnsi="Times New Roman" w:eastAsia="仿宋_GB2312"/>
                <w:bCs/>
                <w:sz w:val="28"/>
                <w:szCs w:val="28"/>
                <w:lang w:eastAsia="zh-CN"/>
              </w:rPr>
              <w:t>、</w:t>
            </w:r>
            <w:r>
              <w:rPr>
                <w:rFonts w:hint="eastAsia" w:ascii="仿宋_GB2312" w:hAnsi="Times New Roman" w:eastAsia="仿宋_GB2312"/>
                <w:bCs/>
                <w:sz w:val="28"/>
                <w:szCs w:val="28"/>
              </w:rPr>
              <w:t>范岗智慧农业产业基地</w:t>
            </w:r>
            <w:r>
              <w:rPr>
                <w:rFonts w:hint="eastAsia" w:ascii="仿宋_GB2312" w:hAnsi="Times New Roman" w:eastAsia="仿宋_GB2312"/>
                <w:bCs/>
                <w:sz w:val="28"/>
                <w:szCs w:val="28"/>
                <w:lang w:eastAsia="zh-CN"/>
              </w:rPr>
              <w:t>。</w:t>
            </w:r>
          </w:p>
        </w:tc>
      </w:tr>
    </w:tbl>
    <w:p w14:paraId="02AD1573">
      <w:pPr>
        <w:ind w:firstLine="643" w:firstLineChars="200"/>
        <w:rPr>
          <w:rFonts w:ascii="Times New Roman" w:hAnsi="Times New Roman" w:eastAsia="仿宋_GB2312"/>
          <w:b/>
          <w:sz w:val="32"/>
          <w:szCs w:val="32"/>
        </w:rPr>
      </w:pPr>
    </w:p>
    <w:p w14:paraId="252EBABC">
      <w:pPr>
        <w:ind w:firstLine="643" w:firstLineChars="200"/>
        <w:rPr>
          <w:rFonts w:ascii="Times New Roman" w:hAnsi="Times New Roman" w:eastAsia="仿宋_GB2312"/>
          <w:sz w:val="32"/>
          <w:szCs w:val="32"/>
        </w:rPr>
      </w:pPr>
      <w:r>
        <w:rPr>
          <w:rFonts w:ascii="Times New Roman" w:hAnsi="Times New Roman" w:eastAsia="仿宋_GB2312"/>
          <w:b/>
          <w:sz w:val="32"/>
          <w:szCs w:val="32"/>
        </w:rPr>
        <w:t>加快发展生态富锌农业。</w:t>
      </w:r>
      <w:r>
        <w:rPr>
          <w:rFonts w:ascii="Times New Roman" w:hAnsi="Times New Roman" w:eastAsia="仿宋_GB2312"/>
          <w:sz w:val="32"/>
          <w:szCs w:val="32"/>
        </w:rPr>
        <w:t>以富锌</w:t>
      </w:r>
      <w:r>
        <w:rPr>
          <w:rFonts w:hint="eastAsia" w:ascii="Times New Roman" w:hAnsi="Times New Roman" w:eastAsia="仿宋_GB2312"/>
          <w:sz w:val="32"/>
          <w:szCs w:val="32"/>
          <w:lang w:val="en-US" w:eastAsia="zh-CN"/>
        </w:rPr>
        <w:t>农业开发</w:t>
      </w:r>
      <w:r>
        <w:rPr>
          <w:rFonts w:ascii="Times New Roman" w:hAnsi="Times New Roman" w:eastAsia="仿宋_GB2312"/>
          <w:sz w:val="32"/>
          <w:szCs w:val="32"/>
        </w:rPr>
        <w:t>为主题，加快种养、加工、贸易、康养、旅游、科技等深度融合</w:t>
      </w:r>
      <w:r>
        <w:rPr>
          <w:rFonts w:hint="eastAsia" w:ascii="Times New Roman" w:hAnsi="Times New Roman" w:eastAsia="仿宋_GB2312"/>
          <w:sz w:val="32"/>
          <w:szCs w:val="32"/>
        </w:rPr>
        <w:t>，</w:t>
      </w:r>
      <w:r>
        <w:rPr>
          <w:rFonts w:ascii="Times New Roman" w:hAnsi="Times New Roman" w:eastAsia="仿宋_GB2312"/>
          <w:sz w:val="32"/>
          <w:szCs w:val="32"/>
        </w:rPr>
        <w:t>健全和完善富锌</w:t>
      </w:r>
      <w:r>
        <w:rPr>
          <w:rFonts w:hint="eastAsia" w:ascii="Times New Roman" w:hAnsi="Times New Roman" w:eastAsia="仿宋_GB2312"/>
          <w:sz w:val="32"/>
          <w:szCs w:val="32"/>
          <w:lang w:val="en-US" w:eastAsia="zh-CN"/>
        </w:rPr>
        <w:t>农业</w:t>
      </w:r>
      <w:r>
        <w:rPr>
          <w:rFonts w:ascii="Times New Roman" w:hAnsi="Times New Roman" w:eastAsia="仿宋_GB2312"/>
          <w:sz w:val="32"/>
          <w:szCs w:val="32"/>
        </w:rPr>
        <w:t>全产业链。</w:t>
      </w:r>
      <w:r>
        <w:rPr>
          <w:rFonts w:hint="eastAsia" w:ascii="Times New Roman" w:hAnsi="Times New Roman" w:eastAsia="仿宋_GB2312"/>
          <w:sz w:val="32"/>
          <w:szCs w:val="32"/>
        </w:rPr>
        <w:t>依托</w:t>
      </w:r>
      <w:r>
        <w:rPr>
          <w:rFonts w:ascii="Times New Roman" w:hAnsi="Times New Roman" w:eastAsia="仿宋_GB2312"/>
          <w:sz w:val="32"/>
          <w:szCs w:val="32"/>
        </w:rPr>
        <w:t>大沙河、柏年河、挂车河</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龙眠河</w:t>
      </w:r>
      <w:r>
        <w:rPr>
          <w:rFonts w:ascii="Times New Roman" w:hAnsi="Times New Roman" w:eastAsia="仿宋_GB2312"/>
          <w:sz w:val="32"/>
          <w:szCs w:val="32"/>
        </w:rPr>
        <w:t>等沿河富锌区域，大力发展“富锌+</w:t>
      </w:r>
      <w:r>
        <w:rPr>
          <w:rFonts w:hint="eastAsia" w:ascii="Times New Roman" w:hAnsi="Times New Roman" w:eastAsia="仿宋_GB2312"/>
          <w:sz w:val="32"/>
          <w:szCs w:val="32"/>
        </w:rPr>
        <w:t>农业</w:t>
      </w:r>
      <w:r>
        <w:rPr>
          <w:rFonts w:ascii="Times New Roman" w:hAnsi="Times New Roman" w:eastAsia="仿宋_GB2312"/>
          <w:sz w:val="32"/>
          <w:szCs w:val="32"/>
        </w:rPr>
        <w:t>”“富锌</w:t>
      </w:r>
      <w:r>
        <w:rPr>
          <w:rFonts w:hint="eastAsia" w:ascii="Times New Roman" w:hAnsi="Times New Roman" w:eastAsia="仿宋_GB2312"/>
          <w:sz w:val="32"/>
          <w:szCs w:val="32"/>
        </w:rPr>
        <w:t>+</w:t>
      </w:r>
      <w:r>
        <w:rPr>
          <w:rFonts w:ascii="Times New Roman" w:hAnsi="Times New Roman" w:eastAsia="仿宋_GB2312"/>
          <w:sz w:val="32"/>
          <w:szCs w:val="32"/>
        </w:rPr>
        <w:t>养生旅游”，</w:t>
      </w:r>
      <w:r>
        <w:rPr>
          <w:rFonts w:hint="eastAsia" w:ascii="Times New Roman" w:hAnsi="Times New Roman" w:eastAsia="仿宋_GB2312"/>
          <w:sz w:val="32"/>
          <w:szCs w:val="32"/>
        </w:rPr>
        <w:t>谋划建设安徽农垦（桐城）富锌食品产业园，加快</w:t>
      </w:r>
      <w:r>
        <w:rPr>
          <w:rFonts w:ascii="Times New Roman" w:hAnsi="Times New Roman" w:eastAsia="仿宋_GB2312"/>
          <w:sz w:val="32"/>
          <w:szCs w:val="32"/>
        </w:rPr>
        <w:t>开发富锌水稻、富锌茶叶、富锌蔬菜、富锌畜禽等富锌产品，</w:t>
      </w:r>
      <w:r>
        <w:rPr>
          <w:rFonts w:hint="eastAsia" w:ascii="Times New Roman" w:hAnsi="Times New Roman" w:eastAsia="仿宋_GB2312"/>
          <w:sz w:val="32"/>
          <w:szCs w:val="32"/>
        </w:rPr>
        <w:t>着力</w:t>
      </w:r>
      <w:r>
        <w:rPr>
          <w:rFonts w:ascii="Times New Roman" w:hAnsi="Times New Roman" w:eastAsia="仿宋_GB2312"/>
          <w:sz w:val="32"/>
          <w:szCs w:val="32"/>
        </w:rPr>
        <w:t>提升产品规模化、标准化、产业化经营水平</w:t>
      </w:r>
      <w:r>
        <w:rPr>
          <w:rFonts w:hint="eastAsia" w:ascii="Times New Roman" w:hAnsi="Times New Roman" w:eastAsia="仿宋_GB2312"/>
          <w:sz w:val="32"/>
          <w:szCs w:val="32"/>
        </w:rPr>
        <w:t>，培育打造一批</w:t>
      </w:r>
      <w:r>
        <w:rPr>
          <w:rFonts w:ascii="Times New Roman" w:hAnsi="Times New Roman" w:eastAsia="仿宋_GB2312"/>
          <w:sz w:val="32"/>
          <w:szCs w:val="32"/>
        </w:rPr>
        <w:t>以富锌生态康养、富锌果蔬采摘为特色的乡村旅游精品产品和路线。“十四五”期间，力争制定5项以上富锌农产品标准，打造10万亩富锌农产品标准化种植基地，培育5家规模以上富锌农产品生产企业，打响1-2个富锌农产品知名品牌，申请1-2个地理标志产品</w:t>
      </w:r>
      <w:r>
        <w:rPr>
          <w:rFonts w:hint="eastAsia" w:ascii="Times New Roman" w:hAnsi="Times New Roman" w:eastAsia="仿宋_GB2312"/>
          <w:sz w:val="32"/>
          <w:szCs w:val="32"/>
        </w:rPr>
        <w:t>，构建</w:t>
      </w:r>
      <w:r>
        <w:rPr>
          <w:rFonts w:ascii="Times New Roman" w:hAnsi="Times New Roman" w:eastAsia="仿宋_GB2312"/>
          <w:sz w:val="32"/>
          <w:szCs w:val="32"/>
        </w:rPr>
        <w:t>种植优质化、技术标准化、产品功能化、经营产业化的富锌农业产业体系</w:t>
      </w:r>
      <w:r>
        <w:rPr>
          <w:rFonts w:hint="eastAsia" w:ascii="Times New Roman" w:hAnsi="Times New Roman" w:eastAsia="仿宋_GB2312"/>
          <w:sz w:val="32"/>
          <w:szCs w:val="32"/>
        </w:rPr>
        <w:t>，</w:t>
      </w:r>
      <w:r>
        <w:rPr>
          <w:rFonts w:ascii="Times New Roman" w:hAnsi="Times New Roman" w:eastAsia="仿宋_GB2312"/>
          <w:sz w:val="32"/>
          <w:szCs w:val="32"/>
        </w:rPr>
        <w:t>建成在全国具有</w:t>
      </w:r>
      <w:r>
        <w:rPr>
          <w:rFonts w:hint="eastAsia" w:ascii="Times New Roman" w:hAnsi="Times New Roman" w:eastAsia="仿宋_GB2312"/>
          <w:sz w:val="32"/>
          <w:szCs w:val="32"/>
        </w:rPr>
        <w:t>重要</w:t>
      </w:r>
      <w:r>
        <w:rPr>
          <w:rFonts w:ascii="Times New Roman" w:hAnsi="Times New Roman" w:eastAsia="仿宋_GB2312"/>
          <w:sz w:val="32"/>
          <w:szCs w:val="32"/>
        </w:rPr>
        <w:t>影响力的生态富锌农产品生产基地。</w:t>
      </w:r>
    </w:p>
    <w:p w14:paraId="47812591">
      <w:pPr>
        <w:ind w:firstLine="643" w:firstLineChars="200"/>
        <w:rPr>
          <w:rFonts w:ascii="Times New Roman" w:hAnsi="Times New Roman" w:eastAsia="仿宋_GB2312"/>
          <w:sz w:val="32"/>
          <w:szCs w:val="32"/>
        </w:rPr>
      </w:pPr>
      <w:r>
        <w:rPr>
          <w:rFonts w:ascii="Times New Roman" w:hAnsi="Times New Roman" w:eastAsia="仿宋_GB2312"/>
          <w:b/>
          <w:sz w:val="32"/>
          <w:szCs w:val="32"/>
        </w:rPr>
        <w:t>推动农业产业化集群发展。</w:t>
      </w:r>
      <w:r>
        <w:rPr>
          <w:rFonts w:ascii="Times New Roman" w:hAnsi="Times New Roman" w:eastAsia="仿宋_GB2312"/>
          <w:sz w:val="32"/>
          <w:szCs w:val="32"/>
        </w:rPr>
        <w:t>促进农产品初加工、精深加工及综合利用加工协调发展，强化一二三产业融合，不断延伸农业产业链。依托农业资源优势，吸引国际知名食品集团</w:t>
      </w:r>
      <w:r>
        <w:rPr>
          <w:rFonts w:hint="eastAsia" w:ascii="Times New Roman" w:hAnsi="Times New Roman" w:eastAsia="仿宋_GB2312"/>
          <w:sz w:val="32"/>
          <w:szCs w:val="32"/>
          <w:lang w:eastAsia="zh-CN"/>
        </w:rPr>
        <w:t>、</w:t>
      </w:r>
      <w:r>
        <w:rPr>
          <w:rFonts w:ascii="Times New Roman" w:hAnsi="Times New Roman" w:eastAsia="仿宋_GB2312"/>
          <w:sz w:val="32"/>
          <w:szCs w:val="32"/>
        </w:rPr>
        <w:t>国内农业产业化龙头企业在桐城设立生产加工基地，</w:t>
      </w:r>
      <w:r>
        <w:rPr>
          <w:rFonts w:hint="eastAsia" w:ascii="Times New Roman" w:hAnsi="Times New Roman" w:eastAsia="仿宋_GB2312"/>
          <w:sz w:val="32"/>
          <w:szCs w:val="32"/>
        </w:rPr>
        <w:t>深化与省农垦集团合作，着力发展粮食精深加工、粮食仓储服务业。</w:t>
      </w:r>
      <w:r>
        <w:rPr>
          <w:rFonts w:ascii="Times New Roman" w:hAnsi="Times New Roman" w:eastAsia="仿宋_GB2312"/>
          <w:sz w:val="32"/>
          <w:szCs w:val="32"/>
        </w:rPr>
        <w:t>聚焦长三角和合肥都市圈，合作共建一批农产品加工联合体和农产品加工区，谋划整体承接食品加工产业园和农产品精深加工企业转移。依托区域农业资源，</w:t>
      </w:r>
      <w:r>
        <w:rPr>
          <w:rFonts w:hint="eastAsia" w:ascii="Times New Roman" w:hAnsi="Times New Roman" w:eastAsia="仿宋_GB2312"/>
          <w:sz w:val="32"/>
          <w:szCs w:val="32"/>
        </w:rPr>
        <w:t>打造</w:t>
      </w:r>
      <w:r>
        <w:rPr>
          <w:rFonts w:ascii="Times New Roman" w:hAnsi="Times New Roman" w:eastAsia="仿宋_GB2312"/>
          <w:sz w:val="32"/>
          <w:szCs w:val="32"/>
        </w:rPr>
        <w:t>一批</w:t>
      </w:r>
      <w:r>
        <w:rPr>
          <w:rFonts w:hint="eastAsia" w:ascii="Times New Roman" w:hAnsi="Times New Roman" w:eastAsia="仿宋_GB2312"/>
          <w:sz w:val="32"/>
          <w:szCs w:val="32"/>
          <w:lang w:val="en-US" w:eastAsia="zh-CN"/>
        </w:rPr>
        <w:t>乡村产业</w:t>
      </w:r>
      <w:r>
        <w:rPr>
          <w:rFonts w:ascii="Times New Roman" w:hAnsi="Times New Roman" w:eastAsia="仿宋_GB2312"/>
          <w:sz w:val="32"/>
          <w:szCs w:val="32"/>
        </w:rPr>
        <w:t>专业村镇、特色农产品标准化生产基地、加工基地、仓储物流基地</w:t>
      </w:r>
      <w:r>
        <w:rPr>
          <w:rFonts w:hint="eastAsia" w:ascii="Times New Roman" w:hAnsi="Times New Roman" w:eastAsia="仿宋_GB2312"/>
          <w:sz w:val="32"/>
          <w:szCs w:val="32"/>
        </w:rPr>
        <w:t>，</w:t>
      </w:r>
      <w:r>
        <w:rPr>
          <w:rFonts w:ascii="Times New Roman" w:hAnsi="Times New Roman" w:eastAsia="仿宋_GB2312"/>
          <w:sz w:val="32"/>
          <w:szCs w:val="32"/>
        </w:rPr>
        <w:t>重点推进食品加工产业园、</w:t>
      </w:r>
      <w:r>
        <w:rPr>
          <w:rFonts w:hint="eastAsia" w:ascii="Times New Roman" w:hAnsi="Times New Roman" w:eastAsia="仿宋_GB2312"/>
          <w:sz w:val="32"/>
          <w:szCs w:val="32"/>
        </w:rPr>
        <w:t>桐城现代农业产业园、</w:t>
      </w:r>
      <w:r>
        <w:rPr>
          <w:rFonts w:ascii="Times New Roman" w:hAnsi="Times New Roman" w:eastAsia="仿宋_GB2312"/>
          <w:sz w:val="32"/>
          <w:szCs w:val="32"/>
        </w:rPr>
        <w:t>水禽羽绒产业园、智慧农业产业园、新希望生猪产业一体化生态产业园等</w:t>
      </w:r>
      <w:r>
        <w:rPr>
          <w:rFonts w:hint="eastAsia" w:ascii="Times New Roman" w:hAnsi="Times New Roman" w:eastAsia="仿宋_GB2312"/>
          <w:sz w:val="32"/>
          <w:szCs w:val="32"/>
        </w:rPr>
        <w:t>5</w:t>
      </w:r>
      <w:r>
        <w:rPr>
          <w:rFonts w:ascii="Times New Roman" w:hAnsi="Times New Roman" w:eastAsia="仿宋_GB2312"/>
          <w:sz w:val="32"/>
          <w:szCs w:val="32"/>
        </w:rPr>
        <w:t>个</w:t>
      </w:r>
      <w:r>
        <w:rPr>
          <w:rFonts w:hint="eastAsia" w:ascii="Times New Roman" w:hAnsi="Times New Roman" w:eastAsia="仿宋_GB2312"/>
          <w:sz w:val="32"/>
          <w:szCs w:val="32"/>
        </w:rPr>
        <w:t>现代</w:t>
      </w:r>
      <w:r>
        <w:rPr>
          <w:rFonts w:ascii="Times New Roman" w:hAnsi="Times New Roman" w:eastAsia="仿宋_GB2312"/>
          <w:sz w:val="32"/>
          <w:szCs w:val="32"/>
        </w:rPr>
        <w:t>农业产业园区建设</w:t>
      </w:r>
      <w:r>
        <w:rPr>
          <w:rFonts w:hint="eastAsia" w:ascii="Times New Roman" w:hAnsi="Times New Roman" w:eastAsia="仿宋_GB2312"/>
          <w:sz w:val="32"/>
          <w:szCs w:val="32"/>
        </w:rPr>
        <w:t>，打造现代农业高质量发展示范区</w:t>
      </w:r>
      <w:r>
        <w:rPr>
          <w:rFonts w:ascii="Times New Roman" w:hAnsi="Times New Roman" w:eastAsia="仿宋_GB2312"/>
          <w:sz w:val="32"/>
          <w:szCs w:val="32"/>
        </w:rPr>
        <w:t>。</w:t>
      </w:r>
    </w:p>
    <w:tbl>
      <w:tblPr>
        <w:tblStyle w:val="38"/>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22"/>
      </w:tblGrid>
      <w:tr w14:paraId="3756BE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Pr>
          <w:p w14:paraId="6EC33182">
            <w:pPr>
              <w:tabs>
                <w:tab w:val="left" w:pos="540"/>
              </w:tabs>
              <w:snapToGrid w:val="0"/>
              <w:spacing w:line="360" w:lineRule="auto"/>
              <w:jc w:val="center"/>
              <w:rPr>
                <w:rFonts w:ascii="楷体" w:hAnsi="楷体" w:eastAsia="楷体" w:cs="仿宋_GB2312"/>
                <w:b/>
                <w:sz w:val="30"/>
                <w:szCs w:val="30"/>
                <w:lang w:val="zh-CN"/>
              </w:rPr>
            </w:pPr>
            <w:r>
              <w:rPr>
                <w:rFonts w:ascii="楷体" w:hAnsi="楷体" w:eastAsia="楷体" w:cs="仿宋_GB2312"/>
                <w:b/>
                <w:sz w:val="30"/>
                <w:szCs w:val="30"/>
                <w:lang w:val="zh-CN"/>
              </w:rPr>
              <w:t>专栏</w:t>
            </w:r>
            <w:r>
              <w:rPr>
                <w:rFonts w:hint="eastAsia" w:ascii="楷体" w:hAnsi="楷体" w:eastAsia="楷体" w:cs="仿宋_GB2312"/>
                <w:b/>
                <w:sz w:val="30"/>
                <w:szCs w:val="30"/>
                <w:lang w:val="en-US" w:eastAsia="zh-CN"/>
              </w:rPr>
              <w:t>10：</w:t>
            </w:r>
            <w:r>
              <w:rPr>
                <w:rFonts w:hint="eastAsia" w:ascii="楷体" w:hAnsi="楷体" w:eastAsia="楷体" w:cs="仿宋_GB2312"/>
                <w:b/>
                <w:sz w:val="30"/>
                <w:szCs w:val="30"/>
                <w:lang w:val="zh-CN"/>
              </w:rPr>
              <w:t>现代农业重点工程</w:t>
            </w:r>
          </w:p>
          <w:p w14:paraId="1AEA5B33">
            <w:pPr>
              <w:spacing w:line="400" w:lineRule="exact"/>
              <w:ind w:firstLine="562" w:firstLineChars="200"/>
              <w:rPr>
                <w:rFonts w:ascii="Times New Roman" w:hAnsi="Times New Roman" w:eastAsia="仿宋_GB2312"/>
                <w:bCs/>
                <w:sz w:val="28"/>
                <w:szCs w:val="28"/>
              </w:rPr>
            </w:pPr>
            <w:r>
              <w:rPr>
                <w:rFonts w:hint="eastAsia" w:ascii="Times New Roman" w:hAnsi="Times New Roman" w:eastAsia="仿宋_GB2312"/>
                <w:b/>
                <w:bCs/>
                <w:sz w:val="28"/>
                <w:szCs w:val="28"/>
              </w:rPr>
              <w:t>桐城市现代农业产业园：</w:t>
            </w:r>
            <w:r>
              <w:rPr>
                <w:rFonts w:hint="eastAsia" w:ascii="Times New Roman" w:hAnsi="Times New Roman" w:eastAsia="仿宋_GB2312"/>
                <w:bCs/>
                <w:sz w:val="28"/>
                <w:szCs w:val="28"/>
              </w:rPr>
              <w:t>长三角一体化农业农村高质量发展示范项目，总投资17.9亿元。主要建设核心区：精深加工和公共服务配套区、种植业示范区、农产品储备与应急保供加工中心；辐射区：禽类绿色养殖基地等。</w:t>
            </w:r>
          </w:p>
          <w:p w14:paraId="67E4470F">
            <w:pPr>
              <w:pStyle w:val="9"/>
              <w:spacing w:line="400" w:lineRule="exact"/>
              <w:ind w:firstLine="562"/>
              <w:rPr>
                <w:rFonts w:hint="eastAsia" w:ascii="Times New Roman" w:hAnsi="Times New Roman" w:eastAsia="仿宋_GB2312"/>
                <w:bCs/>
                <w:sz w:val="28"/>
                <w:szCs w:val="28"/>
              </w:rPr>
            </w:pPr>
            <w:r>
              <w:rPr>
                <w:rFonts w:hint="eastAsia" w:ascii="Times New Roman" w:hAnsi="Times New Roman" w:eastAsia="仿宋_GB2312"/>
                <w:b/>
                <w:bCs/>
                <w:sz w:val="28"/>
                <w:szCs w:val="28"/>
              </w:rPr>
              <w:t>桐城市现代智慧农业产业园：</w:t>
            </w:r>
            <w:r>
              <w:rPr>
                <w:rFonts w:hint="eastAsia" w:ascii="Times New Roman" w:hAnsi="Times New Roman" w:eastAsia="仿宋_GB2312"/>
                <w:bCs/>
                <w:sz w:val="28"/>
                <w:szCs w:val="28"/>
              </w:rPr>
              <w:t>总投资10亿元，规划面积设800—1000亩。一期投资1.7亿元建设占地100亩左右的智慧温室大棚1个、配套建设物流仓储中心、休闲观光园区。</w:t>
            </w:r>
          </w:p>
          <w:p w14:paraId="72823031">
            <w:pPr>
              <w:pStyle w:val="9"/>
              <w:spacing w:line="400" w:lineRule="exact"/>
              <w:rPr>
                <w:rFonts w:hint="eastAsia" w:ascii="Times New Roman" w:hAnsi="Times New Roman" w:eastAsia="仿宋_GB2312"/>
                <w:bCs/>
                <w:sz w:val="28"/>
                <w:szCs w:val="28"/>
                <w:lang w:eastAsia="zh-CN"/>
              </w:rPr>
            </w:pPr>
            <w:r>
              <w:rPr>
                <w:rFonts w:hint="eastAsia" w:ascii="Times New Roman" w:hAnsi="Times New Roman" w:eastAsia="仿宋_GB2312"/>
                <w:b/>
                <w:bCs/>
                <w:sz w:val="28"/>
                <w:szCs w:val="28"/>
              </w:rPr>
              <w:t>皖垦麦稻智慧桐城加工中心</w:t>
            </w:r>
            <w:r>
              <w:rPr>
                <w:rFonts w:hint="eastAsia" w:ascii="Times New Roman" w:hAnsi="Times New Roman" w:eastAsia="仿宋_GB2312"/>
                <w:b/>
                <w:bCs/>
                <w:sz w:val="28"/>
                <w:szCs w:val="28"/>
                <w:lang w:eastAsia="zh-CN"/>
              </w:rPr>
              <w:t>：</w:t>
            </w:r>
            <w:r>
              <w:rPr>
                <w:rFonts w:hint="eastAsia" w:ascii="Times New Roman" w:hAnsi="Times New Roman" w:eastAsia="仿宋_GB2312"/>
                <w:bCs/>
                <w:sz w:val="28"/>
                <w:szCs w:val="28"/>
                <w:lang w:eastAsia="zh-CN"/>
              </w:rPr>
              <w:t>总投资5亿元，利用“智慧型粮食分层磨削装置”，打造新型碾米生产线，形成日处理300吨稻米加工能力；建设专用品牌粮食生产基地，实行农业“五统一”，布局优质专用品种，实现产购储加销全产业链发展。</w:t>
            </w:r>
          </w:p>
          <w:p w14:paraId="0B9686FD">
            <w:pPr>
              <w:spacing w:line="400" w:lineRule="exact"/>
              <w:ind w:firstLine="562" w:firstLineChars="200"/>
              <w:rPr>
                <w:rFonts w:ascii="Times New Roman" w:hAnsi="Times New Roman" w:eastAsia="仿宋_GB2312"/>
                <w:bCs/>
                <w:sz w:val="28"/>
                <w:szCs w:val="28"/>
              </w:rPr>
            </w:pPr>
            <w:r>
              <w:rPr>
                <w:rFonts w:hint="eastAsia" w:ascii="Times New Roman" w:hAnsi="Times New Roman" w:eastAsia="仿宋_GB2312"/>
                <w:b/>
                <w:bCs/>
                <w:sz w:val="28"/>
                <w:szCs w:val="28"/>
              </w:rPr>
              <w:t>新希望生猪产业一体化生态产业园：</w:t>
            </w:r>
            <w:r>
              <w:rPr>
                <w:rFonts w:hint="eastAsia" w:ascii="Times New Roman" w:hAnsi="Times New Roman" w:eastAsia="仿宋_GB2312"/>
                <w:bCs/>
                <w:sz w:val="28"/>
                <w:szCs w:val="28"/>
              </w:rPr>
              <w:t>总投资约42亿元，建设“种、养、屠宰、深加工、冷链物流等”一体的生态产业体系。一 期建设存栏2.7万头母猪繁育场和出栏30万头育肥猪场，并配套建设饲料加工厂。</w:t>
            </w:r>
          </w:p>
          <w:p w14:paraId="236F28BE">
            <w:pPr>
              <w:spacing w:line="400" w:lineRule="exact"/>
              <w:ind w:firstLine="562" w:firstLineChars="200"/>
              <w:rPr>
                <w:rFonts w:ascii="Times New Roman" w:hAnsi="Times New Roman" w:eastAsia="仿宋_GB2312"/>
                <w:bCs/>
                <w:sz w:val="28"/>
                <w:szCs w:val="28"/>
              </w:rPr>
            </w:pPr>
            <w:r>
              <w:rPr>
                <w:rFonts w:hint="eastAsia" w:ascii="Times New Roman" w:hAnsi="Times New Roman" w:eastAsia="仿宋_GB2312"/>
                <w:b/>
                <w:bCs/>
                <w:sz w:val="28"/>
                <w:szCs w:val="28"/>
              </w:rPr>
              <w:t>桐城水禽羽绒产业园</w:t>
            </w:r>
            <w:r>
              <w:rPr>
                <w:rFonts w:ascii="Times New Roman" w:hAnsi="Times New Roman" w:eastAsia="仿宋_GB2312"/>
                <w:b/>
                <w:bCs/>
                <w:sz w:val="28"/>
                <w:szCs w:val="28"/>
              </w:rPr>
              <w:t>：</w:t>
            </w:r>
            <w:r>
              <w:rPr>
                <w:rFonts w:hint="eastAsia" w:ascii="Times New Roman" w:hAnsi="Times New Roman" w:eastAsia="仿宋_GB2312"/>
                <w:bCs/>
                <w:sz w:val="28"/>
                <w:szCs w:val="28"/>
              </w:rPr>
              <w:t>总投资4.2亿元，按照“一大交易中心、两大融合园区、三大养殖辐射带”规划建设布局，打造桐城市长三角绿色蛋鸭产业集群。</w:t>
            </w:r>
          </w:p>
          <w:p w14:paraId="0F466753">
            <w:pPr>
              <w:spacing w:line="400" w:lineRule="exact"/>
              <w:ind w:firstLine="562" w:firstLineChars="200"/>
              <w:rPr>
                <w:rFonts w:ascii="Times New Roman" w:hAnsi="Times New Roman" w:eastAsia="仿宋_GB2312"/>
                <w:b/>
                <w:bCs/>
                <w:sz w:val="28"/>
                <w:szCs w:val="28"/>
              </w:rPr>
            </w:pPr>
            <w:r>
              <w:rPr>
                <w:rFonts w:hint="eastAsia" w:ascii="Times New Roman" w:hAnsi="Times New Roman" w:eastAsia="仿宋_GB2312"/>
                <w:b/>
                <w:bCs/>
                <w:sz w:val="28"/>
                <w:szCs w:val="28"/>
              </w:rPr>
              <w:t>孔城现代农业示范园区：</w:t>
            </w:r>
            <w:r>
              <w:rPr>
                <w:rFonts w:hint="eastAsia" w:ascii="Times New Roman" w:hAnsi="Times New Roman" w:eastAsia="仿宋_GB2312"/>
                <w:bCs/>
                <w:sz w:val="28"/>
                <w:szCs w:val="28"/>
              </w:rPr>
              <w:t>打造1.3万亩的孔城现代农业示范园区。</w:t>
            </w:r>
          </w:p>
          <w:p w14:paraId="4528B5AF">
            <w:pPr>
              <w:spacing w:line="400" w:lineRule="exact"/>
              <w:ind w:firstLine="562" w:firstLineChars="200"/>
              <w:rPr>
                <w:rFonts w:ascii="Times New Roman" w:hAnsi="Times New Roman" w:eastAsia="仿宋_GB2312"/>
                <w:bCs/>
                <w:sz w:val="28"/>
                <w:szCs w:val="28"/>
              </w:rPr>
            </w:pPr>
            <w:r>
              <w:rPr>
                <w:rFonts w:hint="eastAsia" w:ascii="Times New Roman" w:hAnsi="Times New Roman" w:eastAsia="仿宋_GB2312"/>
                <w:b/>
                <w:bCs/>
                <w:sz w:val="28"/>
                <w:szCs w:val="28"/>
              </w:rPr>
              <w:t>现代农业观光采摘园</w:t>
            </w:r>
            <w:r>
              <w:rPr>
                <w:rFonts w:ascii="Times New Roman" w:hAnsi="Times New Roman" w:eastAsia="仿宋_GB2312"/>
                <w:b/>
                <w:bCs/>
                <w:sz w:val="28"/>
                <w:szCs w:val="28"/>
              </w:rPr>
              <w:t>：</w:t>
            </w:r>
            <w:r>
              <w:rPr>
                <w:rFonts w:hint="eastAsia" w:ascii="Times New Roman" w:hAnsi="Times New Roman" w:eastAsia="仿宋_GB2312"/>
                <w:bCs/>
                <w:sz w:val="28"/>
                <w:szCs w:val="28"/>
              </w:rPr>
              <w:t>以草原、孙桥、金神三个村为基地，沿桐金路、桐香路两侧进行建设300亩大棚蔬菜、500亩现代农业观光园。</w:t>
            </w:r>
          </w:p>
          <w:p w14:paraId="320D4C5B">
            <w:pPr>
              <w:spacing w:line="400" w:lineRule="exact"/>
              <w:ind w:firstLine="562" w:firstLineChars="200"/>
            </w:pPr>
            <w:r>
              <w:rPr>
                <w:rFonts w:hint="eastAsia" w:ascii="Times New Roman" w:hAnsi="Times New Roman" w:eastAsia="仿宋_GB2312"/>
                <w:b/>
                <w:bCs/>
                <w:sz w:val="28"/>
                <w:szCs w:val="28"/>
              </w:rPr>
              <w:t>大关镇明月湾田园综合体：</w:t>
            </w:r>
            <w:r>
              <w:rPr>
                <w:rFonts w:hint="eastAsia" w:ascii="Times New Roman" w:hAnsi="Times New Roman" w:eastAsia="仿宋_GB2312"/>
                <w:bCs/>
                <w:sz w:val="28"/>
                <w:szCs w:val="28"/>
              </w:rPr>
              <w:t>建设集循环农业、创意农业、农事体验于一体的田园综合体。</w:t>
            </w:r>
          </w:p>
        </w:tc>
      </w:tr>
    </w:tbl>
    <w:p w14:paraId="2C7B20A7">
      <w:pPr>
        <w:pStyle w:val="4"/>
        <w:ind w:firstLine="643" w:firstLineChars="200"/>
        <w:rPr>
          <w:rFonts w:ascii="Times New Roman" w:hAnsi="Times New Roman" w:eastAsia="仿宋_GB2312"/>
          <w:b/>
          <w:sz w:val="32"/>
          <w:szCs w:val="40"/>
        </w:rPr>
      </w:pPr>
    </w:p>
    <w:p w14:paraId="22B9D174">
      <w:pPr>
        <w:pStyle w:val="4"/>
        <w:ind w:firstLine="643" w:firstLineChars="200"/>
        <w:rPr>
          <w:rFonts w:ascii="Times New Roman" w:hAnsi="Times New Roman" w:eastAsia="仿宋_GB2312"/>
          <w:sz w:val="32"/>
          <w:szCs w:val="32"/>
        </w:rPr>
      </w:pPr>
      <w:r>
        <w:rPr>
          <w:rFonts w:ascii="Times New Roman" w:hAnsi="Times New Roman" w:eastAsia="仿宋_GB2312"/>
          <w:b/>
          <w:sz w:val="32"/>
          <w:szCs w:val="40"/>
        </w:rPr>
        <w:t>加快农村电商发展。</w:t>
      </w:r>
      <w:r>
        <w:rPr>
          <w:rFonts w:ascii="Times New Roman" w:hAnsi="Times New Roman" w:eastAsia="仿宋_GB2312"/>
          <w:sz w:val="32"/>
          <w:szCs w:val="32"/>
        </w:rPr>
        <w:t>提升国家级电子商务进农村示范县建设水平。</w:t>
      </w:r>
      <w:r>
        <w:rPr>
          <w:rFonts w:ascii="Times New Roman" w:hAnsi="Times New Roman" w:eastAsia="仿宋_GB2312"/>
          <w:sz w:val="32"/>
          <w:szCs w:val="40"/>
        </w:rPr>
        <w:t>实施农村电商全覆盖巩固提升行动，加强农产品上行服务能力建设，积极引进国内外知名电商企业拓展农村电商业务。</w:t>
      </w:r>
      <w:r>
        <w:rPr>
          <w:rFonts w:hint="eastAsia" w:ascii="Times New Roman" w:hAnsi="Times New Roman" w:eastAsia="仿宋_GB2312"/>
          <w:sz w:val="32"/>
          <w:szCs w:val="40"/>
        </w:rPr>
        <w:t>积极整合现有电商资源，成立电商联盟，</w:t>
      </w:r>
      <w:r>
        <w:rPr>
          <w:rFonts w:ascii="Times New Roman" w:hAnsi="Times New Roman" w:eastAsia="仿宋_GB2312"/>
          <w:sz w:val="32"/>
          <w:szCs w:val="40"/>
        </w:rPr>
        <w:t>推进本土农村电商龙头企业和农村电商品牌培育，引导更多新型农业经营主体开展网络销售。</w:t>
      </w:r>
      <w:r>
        <w:rPr>
          <w:rFonts w:hint="eastAsia" w:ascii="Times New Roman" w:hAnsi="Times New Roman" w:eastAsia="仿宋_GB2312"/>
          <w:sz w:val="32"/>
          <w:szCs w:val="40"/>
        </w:rPr>
        <w:t>整合各类农业经营主体电商资源，打造桐城市农业产业电子商务联盟，形成标识度高、集中性强的农业电子商务品牌。</w:t>
      </w:r>
      <w:r>
        <w:rPr>
          <w:rFonts w:ascii="Times New Roman" w:hAnsi="Times New Roman" w:eastAsia="仿宋_GB2312"/>
          <w:sz w:val="32"/>
          <w:szCs w:val="32"/>
        </w:rPr>
        <w:t>推广“电商+龙头企业+专业合作社+农户”模式，</w:t>
      </w:r>
      <w:r>
        <w:rPr>
          <w:rFonts w:ascii="Times New Roman" w:hAnsi="Times New Roman" w:eastAsia="仿宋_GB2312"/>
          <w:sz w:val="32"/>
          <w:szCs w:val="40"/>
        </w:rPr>
        <w:t>推进集约化、规模化、品牌化订单式农业生产，</w:t>
      </w:r>
      <w:r>
        <w:rPr>
          <w:rFonts w:ascii="Times New Roman" w:hAnsi="Times New Roman" w:eastAsia="仿宋_GB2312"/>
          <w:sz w:val="32"/>
          <w:szCs w:val="32"/>
        </w:rPr>
        <w:t>打通农产品直供直销链。</w:t>
      </w:r>
      <w:r>
        <w:rPr>
          <w:rFonts w:ascii="Times New Roman" w:hAnsi="Times New Roman" w:eastAsia="仿宋_GB2312"/>
          <w:sz w:val="32"/>
          <w:szCs w:val="40"/>
        </w:rPr>
        <w:t>丰富乡村网点民生服务，推动乡村电商服务网点与就业扶贫驿站、农村快递公共服务点、信息进村入户益农信息社、惠农金融服务室等共建共享。</w:t>
      </w:r>
      <w:r>
        <w:rPr>
          <w:rFonts w:ascii="Times New Roman" w:hAnsi="Times New Roman" w:eastAsia="仿宋_GB2312"/>
          <w:sz w:val="32"/>
          <w:szCs w:val="32"/>
        </w:rPr>
        <w:t>主动加强与沪苏浙电商企业合作，加快冷链物流、直销配送体系建设，参与共建长三角3小时鲜活农产品物流圈。</w:t>
      </w:r>
    </w:p>
    <w:p w14:paraId="67B4DB7D">
      <w:pPr>
        <w:spacing w:before="100" w:beforeAutospacing="1" w:after="100" w:afterAutospacing="1"/>
        <w:jc w:val="center"/>
        <w:outlineLvl w:val="1"/>
        <w:rPr>
          <w:rFonts w:ascii="Times New Roman" w:hAnsi="Times New Roman" w:eastAsia="黑体"/>
          <w:sz w:val="32"/>
          <w:szCs w:val="32"/>
        </w:rPr>
      </w:pPr>
      <w:bookmarkStart w:id="65" w:name="_Toc17290"/>
      <w:r>
        <w:rPr>
          <w:rFonts w:ascii="Times New Roman" w:hAnsi="Times New Roman" w:eastAsia="黑体"/>
          <w:sz w:val="32"/>
          <w:szCs w:val="32"/>
        </w:rPr>
        <w:t>第二节</w:t>
      </w:r>
      <w:r>
        <w:rPr>
          <w:rFonts w:hint="eastAsia" w:ascii="Times New Roman" w:hAnsi="Times New Roman" w:eastAsia="黑体"/>
          <w:sz w:val="32"/>
          <w:szCs w:val="32"/>
          <w:lang w:val="en-US" w:eastAsia="zh-CN"/>
        </w:rPr>
        <w:t xml:space="preserve"> </w:t>
      </w:r>
      <w:r>
        <w:rPr>
          <w:rFonts w:hint="eastAsia" w:ascii="Times New Roman" w:hAnsi="Times New Roman" w:eastAsia="黑体"/>
          <w:sz w:val="32"/>
          <w:szCs w:val="32"/>
        </w:rPr>
        <w:t>实施乡村建设行动</w:t>
      </w:r>
      <w:bookmarkEnd w:id="65"/>
    </w:p>
    <w:p w14:paraId="694162D3">
      <w:pPr>
        <w:ind w:firstLine="643" w:firstLineChars="200"/>
        <w:rPr>
          <w:rFonts w:ascii="Times New Roman" w:hAnsi="Times New Roman" w:eastAsia="仿宋_GB2312"/>
          <w:sz w:val="32"/>
          <w:szCs w:val="40"/>
        </w:rPr>
      </w:pPr>
      <w:r>
        <w:rPr>
          <w:rFonts w:hint="eastAsia" w:ascii="Times New Roman" w:hAnsi="Times New Roman" w:eastAsia="仿宋_GB2312"/>
          <w:b/>
          <w:sz w:val="32"/>
          <w:szCs w:val="40"/>
        </w:rPr>
        <w:t>强化乡村建设规划引领。</w:t>
      </w:r>
      <w:r>
        <w:rPr>
          <w:rFonts w:hint="eastAsia" w:ascii="Times New Roman" w:hAnsi="Times New Roman" w:eastAsia="仿宋_GB2312"/>
          <w:sz w:val="32"/>
          <w:szCs w:val="40"/>
        </w:rPr>
        <w:t>科学编制乡村建设规划，实现村庄规划管理全覆盖。按照集聚提升、城郊融合、特色保护、搬迁撤并等分类，提高乡村规划设计水平，因地制宜谋划乡村建设规模，打造一批产业强、生态美、乡风好、治理优、百姓富的新时代幸福美丽宜居村庄。合理规划建设中心村庄，加强农村建房风貌管控，注重传统村落保护和乡村特色风貌保持。</w:t>
      </w:r>
    </w:p>
    <w:p w14:paraId="5DF864D1">
      <w:pPr>
        <w:ind w:firstLine="643" w:firstLineChars="200"/>
      </w:pPr>
      <w:r>
        <w:rPr>
          <w:rFonts w:ascii="Times New Roman" w:hAnsi="Times New Roman" w:eastAsia="仿宋_GB2312"/>
          <w:b/>
          <w:sz w:val="32"/>
          <w:szCs w:val="40"/>
        </w:rPr>
        <w:t>加快农村基础设施和公共服务补短板。</w:t>
      </w:r>
      <w:r>
        <w:rPr>
          <w:rFonts w:hint="eastAsia" w:ascii="Times New Roman" w:hAnsi="Times New Roman" w:eastAsia="仿宋_GB2312"/>
          <w:sz w:val="32"/>
          <w:szCs w:val="40"/>
        </w:rPr>
        <w:t>加大农村基础设施建设力度，推动乡村水、电、路、气、通信、广播电视、物流等基础设施提档升级。布局城乡一体的农村供水供气网络，</w:t>
      </w:r>
      <w:r>
        <w:rPr>
          <w:rFonts w:ascii="Times New Roman" w:hAnsi="Times New Roman" w:eastAsia="仿宋_GB2312"/>
          <w:sz w:val="32"/>
          <w:szCs w:val="32"/>
        </w:rPr>
        <w:t>升级改造农村电网</w:t>
      </w:r>
      <w:r>
        <w:rPr>
          <w:rFonts w:hint="eastAsia" w:ascii="Times New Roman" w:hAnsi="Times New Roman" w:eastAsia="仿宋_GB2312"/>
          <w:sz w:val="32"/>
          <w:szCs w:val="40"/>
        </w:rPr>
        <w:t>。</w:t>
      </w:r>
      <w:r>
        <w:rPr>
          <w:rFonts w:ascii="Times New Roman" w:hAnsi="Times New Roman" w:eastAsia="仿宋_GB2312"/>
          <w:sz w:val="32"/>
          <w:szCs w:val="32"/>
        </w:rPr>
        <w:t>推进“四好农村路”建设，打造便捷高效农村交通物流网。实施农村新一代信息基础设施建设行动，推动“互联网+农村”建设，加快建设数字乡村。</w:t>
      </w:r>
      <w:r>
        <w:rPr>
          <w:rFonts w:ascii="Times New Roman" w:hAnsi="Times New Roman" w:eastAsia="仿宋_GB2312"/>
          <w:sz w:val="32"/>
          <w:szCs w:val="40"/>
        </w:rPr>
        <w:t>促进教育、卫生、</w:t>
      </w:r>
      <w:r>
        <w:rPr>
          <w:rFonts w:hint="eastAsia" w:ascii="Times New Roman" w:hAnsi="Times New Roman" w:eastAsia="仿宋_GB2312"/>
          <w:sz w:val="32"/>
          <w:szCs w:val="40"/>
        </w:rPr>
        <w:t>物流</w:t>
      </w:r>
      <w:r>
        <w:rPr>
          <w:rFonts w:ascii="Times New Roman" w:hAnsi="Times New Roman" w:eastAsia="仿宋_GB2312"/>
          <w:sz w:val="32"/>
          <w:szCs w:val="40"/>
        </w:rPr>
        <w:t>等资源向</w:t>
      </w:r>
      <w:r>
        <w:rPr>
          <w:rFonts w:hint="eastAsia" w:ascii="Times New Roman" w:hAnsi="Times New Roman" w:eastAsia="仿宋_GB2312"/>
          <w:sz w:val="32"/>
          <w:szCs w:val="40"/>
        </w:rPr>
        <w:t>乡村</w:t>
      </w:r>
      <w:r>
        <w:rPr>
          <w:rFonts w:ascii="Times New Roman" w:hAnsi="Times New Roman" w:eastAsia="仿宋_GB2312"/>
          <w:sz w:val="32"/>
          <w:szCs w:val="40"/>
        </w:rPr>
        <w:t>倾斜，推动城市优质公共服务向乡村布局，推进城乡基本公共服务均等化。</w:t>
      </w:r>
      <w:r>
        <w:rPr>
          <w:rFonts w:hint="eastAsia" w:ascii="Times New Roman" w:hAnsi="Times New Roman" w:eastAsia="仿宋_GB2312"/>
          <w:sz w:val="32"/>
          <w:szCs w:val="40"/>
        </w:rPr>
        <w:t>注重农民文化教育和职业技能培训，提升农民文化素质和就业能力。</w:t>
      </w:r>
    </w:p>
    <w:p w14:paraId="0F78EA50">
      <w:pPr>
        <w:ind w:firstLine="643" w:firstLineChars="200"/>
        <w:rPr>
          <w:rFonts w:ascii="Times New Roman" w:hAnsi="Times New Roman" w:eastAsia="仿宋_GB2312"/>
          <w:sz w:val="32"/>
          <w:szCs w:val="40"/>
        </w:rPr>
      </w:pPr>
      <w:r>
        <w:rPr>
          <w:rFonts w:hint="eastAsia" w:ascii="Times New Roman" w:hAnsi="Times New Roman" w:eastAsia="仿宋_GB2312"/>
          <w:b/>
          <w:sz w:val="32"/>
          <w:szCs w:val="40"/>
        </w:rPr>
        <w:t>高质量推进农村人居环境整治。</w:t>
      </w:r>
      <w:r>
        <w:rPr>
          <w:rFonts w:hint="eastAsia" w:ascii="Times New Roman" w:hAnsi="Times New Roman" w:eastAsia="仿宋_GB2312"/>
          <w:sz w:val="32"/>
          <w:szCs w:val="40"/>
        </w:rPr>
        <w:t>深化和推进 “三大革命”和“三大行动”，全面提升村容村貌。全域推进</w:t>
      </w:r>
      <w:r>
        <w:rPr>
          <w:rFonts w:hint="eastAsia" w:ascii="Times New Roman" w:hAnsi="Times New Roman" w:eastAsia="仿宋_GB2312"/>
          <w:sz w:val="32"/>
          <w:szCs w:val="40"/>
          <w:lang w:eastAsia="zh-CN"/>
        </w:rPr>
        <w:t>农作物秸秆</w:t>
      </w:r>
      <w:r>
        <w:rPr>
          <w:rFonts w:hint="eastAsia" w:ascii="Times New Roman" w:hAnsi="Times New Roman" w:eastAsia="仿宋_GB2312"/>
          <w:sz w:val="32"/>
          <w:szCs w:val="40"/>
          <w:lang w:val="en-US" w:eastAsia="zh-CN"/>
        </w:rPr>
        <w:t>和</w:t>
      </w:r>
      <w:r>
        <w:rPr>
          <w:rFonts w:hint="eastAsia" w:ascii="Times New Roman" w:hAnsi="Times New Roman" w:eastAsia="仿宋_GB2312"/>
          <w:sz w:val="32"/>
          <w:szCs w:val="40"/>
        </w:rPr>
        <w:t>畜禽粪污资源化利用，实现农村全域美丽。</w:t>
      </w:r>
      <w:r>
        <w:rPr>
          <w:rFonts w:ascii="Times New Roman" w:hAnsi="Times New Roman" w:eastAsia="仿宋_GB2312"/>
          <w:sz w:val="32"/>
          <w:szCs w:val="40"/>
        </w:rPr>
        <w:t>科学布局建设农村生活垃圾“收、转、运”和无害化处理设施，持续推进农村生活垃圾源头分类和资源化利用。优化污水集中处理设施布局，推进城镇污水管网向周边村庄延伸。采取综合措施恢复水生态，逐步消除农村黑臭水体，努力打造“水清、河畅、岸绿、景美”的村庄水环境。</w:t>
      </w:r>
      <w:r>
        <w:rPr>
          <w:rFonts w:hint="eastAsia" w:ascii="Times New Roman" w:hAnsi="Times New Roman" w:eastAsia="仿宋_GB2312"/>
          <w:sz w:val="32"/>
          <w:szCs w:val="40"/>
        </w:rPr>
        <w:t>提升农房建设质量，新建一批宜居型示范农房。开展“四旁四边四创”国土绿化提升行动，</w:t>
      </w:r>
      <w:r>
        <w:rPr>
          <w:rFonts w:ascii="Times New Roman" w:hAnsi="Times New Roman" w:eastAsia="仿宋_GB2312"/>
          <w:sz w:val="32"/>
          <w:szCs w:val="40"/>
        </w:rPr>
        <w:t>加强村庄原生植被、古树名木、自然景观、小微湿地恢复和保护，建设绿色生态村庄。</w:t>
      </w:r>
    </w:p>
    <w:p w14:paraId="1CABB0E4">
      <w:pPr>
        <w:ind w:firstLine="640" w:firstLineChars="200"/>
        <w:rPr>
          <w:rFonts w:ascii="Times New Roman" w:hAnsi="Times New Roman" w:eastAsia="仿宋_GB2312"/>
          <w:sz w:val="32"/>
          <w:szCs w:val="40"/>
        </w:rPr>
      </w:pPr>
    </w:p>
    <w:tbl>
      <w:tblPr>
        <w:tblStyle w:val="38"/>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22"/>
      </w:tblGrid>
      <w:tr w14:paraId="66B059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Pr>
          <w:p w14:paraId="5EBD588F">
            <w:pPr>
              <w:tabs>
                <w:tab w:val="left" w:pos="540"/>
              </w:tabs>
              <w:snapToGrid w:val="0"/>
              <w:spacing w:line="360" w:lineRule="auto"/>
              <w:jc w:val="center"/>
              <w:rPr>
                <w:rFonts w:ascii="楷体" w:hAnsi="楷体" w:eastAsia="楷体" w:cs="仿宋_GB2312"/>
                <w:b/>
                <w:sz w:val="30"/>
                <w:szCs w:val="30"/>
                <w:lang w:val="zh-CN"/>
              </w:rPr>
            </w:pPr>
            <w:r>
              <w:rPr>
                <w:rFonts w:ascii="楷体" w:hAnsi="楷体" w:eastAsia="楷体" w:cs="仿宋_GB2312"/>
                <w:b/>
                <w:sz w:val="30"/>
                <w:szCs w:val="30"/>
                <w:lang w:val="zh-CN"/>
              </w:rPr>
              <w:t>专栏</w:t>
            </w:r>
            <w:r>
              <w:rPr>
                <w:rFonts w:hint="eastAsia" w:ascii="楷体" w:hAnsi="楷体" w:eastAsia="楷体" w:cs="仿宋_GB2312"/>
                <w:b/>
                <w:sz w:val="30"/>
                <w:szCs w:val="30"/>
                <w:lang w:val="en-US" w:eastAsia="zh-CN"/>
              </w:rPr>
              <w:t xml:space="preserve">11：  </w:t>
            </w:r>
            <w:r>
              <w:rPr>
                <w:rFonts w:hint="eastAsia" w:ascii="楷体" w:hAnsi="楷体" w:eastAsia="楷体" w:cs="仿宋_GB2312"/>
                <w:b/>
                <w:sz w:val="30"/>
                <w:szCs w:val="30"/>
                <w:lang w:val="zh-CN"/>
              </w:rPr>
              <w:t>乡村</w:t>
            </w:r>
            <w:r>
              <w:rPr>
                <w:rFonts w:ascii="楷体" w:hAnsi="楷体" w:eastAsia="楷体" w:cs="仿宋_GB2312"/>
                <w:b/>
                <w:sz w:val="30"/>
                <w:szCs w:val="30"/>
                <w:lang w:val="zh-CN"/>
              </w:rPr>
              <w:t>建设行动重大项目</w:t>
            </w:r>
          </w:p>
          <w:p w14:paraId="15BA801A">
            <w:pPr>
              <w:spacing w:line="400" w:lineRule="exact"/>
              <w:ind w:firstLine="562" w:firstLineChars="200"/>
              <w:rPr>
                <w:rFonts w:hint="eastAsia" w:ascii="Times New Roman" w:hAnsi="Times New Roman" w:eastAsia="仿宋_GB2312"/>
                <w:bCs/>
                <w:sz w:val="28"/>
                <w:szCs w:val="28"/>
                <w:lang w:eastAsia="zh-CN"/>
              </w:rPr>
            </w:pPr>
            <w:r>
              <w:rPr>
                <w:rFonts w:hint="eastAsia" w:ascii="Times New Roman" w:hAnsi="Times New Roman" w:eastAsia="仿宋_GB2312"/>
                <w:b/>
                <w:bCs/>
                <w:sz w:val="28"/>
                <w:szCs w:val="28"/>
              </w:rPr>
              <w:t>乡村建设规划引领。</w:t>
            </w:r>
            <w:r>
              <w:rPr>
                <w:rFonts w:hint="eastAsia" w:ascii="Times New Roman" w:hAnsi="Times New Roman" w:eastAsia="仿宋_GB2312"/>
                <w:bCs/>
                <w:sz w:val="28"/>
                <w:szCs w:val="28"/>
              </w:rPr>
              <w:t>桐城市村庄规划编制</w:t>
            </w:r>
            <w:r>
              <w:rPr>
                <w:rFonts w:hint="eastAsia" w:ascii="Times New Roman" w:hAnsi="Times New Roman" w:eastAsia="仿宋_GB2312"/>
                <w:bCs/>
                <w:sz w:val="28"/>
                <w:szCs w:val="28"/>
                <w:lang w:eastAsia="zh-CN"/>
              </w:rPr>
              <w:t>。</w:t>
            </w:r>
          </w:p>
          <w:p w14:paraId="1E09F9DB">
            <w:pPr>
              <w:spacing w:line="400" w:lineRule="exact"/>
              <w:ind w:firstLine="562" w:firstLineChars="200"/>
              <w:rPr>
                <w:rFonts w:hint="eastAsia" w:ascii="Times New Roman" w:hAnsi="Times New Roman" w:eastAsia="仿宋_GB2312"/>
                <w:b/>
                <w:bCs/>
                <w:sz w:val="28"/>
                <w:szCs w:val="28"/>
                <w:lang w:eastAsia="zh-CN"/>
              </w:rPr>
            </w:pPr>
            <w:r>
              <w:rPr>
                <w:rFonts w:hint="eastAsia" w:ascii="Times New Roman" w:hAnsi="Times New Roman" w:eastAsia="仿宋_GB2312"/>
                <w:b/>
                <w:bCs/>
                <w:sz w:val="28"/>
                <w:szCs w:val="28"/>
              </w:rPr>
              <w:t>农村人居环境改善。</w:t>
            </w:r>
            <w:r>
              <w:rPr>
                <w:rFonts w:hint="eastAsia" w:ascii="Times New Roman" w:hAnsi="Times New Roman" w:eastAsia="仿宋_GB2312"/>
                <w:bCs/>
                <w:sz w:val="28"/>
                <w:szCs w:val="28"/>
              </w:rPr>
              <w:t>桐城市环境整治和美丽乡村、桐城市范岗镇高黄村土地全域综合整治</w:t>
            </w:r>
            <w:r>
              <w:rPr>
                <w:rFonts w:hint="eastAsia" w:ascii="Times New Roman" w:hAnsi="Times New Roman" w:eastAsia="仿宋_GB2312"/>
                <w:bCs/>
                <w:sz w:val="28"/>
                <w:szCs w:val="28"/>
                <w:lang w:eastAsia="zh-CN"/>
              </w:rPr>
              <w:t>。</w:t>
            </w:r>
          </w:p>
          <w:p w14:paraId="7CF57197">
            <w:pPr>
              <w:spacing w:line="400" w:lineRule="exact"/>
              <w:ind w:firstLine="562" w:firstLineChars="200"/>
            </w:pPr>
            <w:r>
              <w:rPr>
                <w:rFonts w:hint="eastAsia" w:ascii="Times New Roman" w:hAnsi="Times New Roman" w:eastAsia="仿宋_GB2312"/>
                <w:b/>
                <w:bCs/>
                <w:sz w:val="28"/>
                <w:szCs w:val="28"/>
              </w:rPr>
              <w:t>农村基础设施和公共服务补短板。</w:t>
            </w:r>
            <w:r>
              <w:rPr>
                <w:rFonts w:hint="eastAsia" w:ascii="Times New Roman" w:hAnsi="Times New Roman" w:eastAsia="仿宋_GB2312"/>
                <w:bCs/>
                <w:sz w:val="28"/>
                <w:szCs w:val="28"/>
              </w:rPr>
              <w:t>桐城市高标准农田</w:t>
            </w:r>
            <w:r>
              <w:rPr>
                <w:rFonts w:hint="eastAsia" w:ascii="Times New Roman" w:hAnsi="Times New Roman" w:eastAsia="仿宋_GB2312" w:cs="Times New Roman"/>
                <w:bCs/>
                <w:sz w:val="28"/>
                <w:szCs w:val="28"/>
              </w:rPr>
              <w:t>建设、桐城市人居环境整治项目</w:t>
            </w:r>
            <w:r>
              <w:rPr>
                <w:rFonts w:hint="eastAsia" w:ascii="Times New Roman" w:hAnsi="Times New Roman" w:eastAsia="仿宋_GB2312"/>
                <w:bCs/>
                <w:sz w:val="28"/>
                <w:szCs w:val="28"/>
                <w:lang w:eastAsia="zh-CN"/>
              </w:rPr>
              <w:t>。</w:t>
            </w:r>
          </w:p>
        </w:tc>
      </w:tr>
    </w:tbl>
    <w:p w14:paraId="5293E403">
      <w:pPr>
        <w:spacing w:before="100" w:beforeAutospacing="1" w:after="100" w:afterAutospacing="1"/>
        <w:jc w:val="center"/>
        <w:outlineLvl w:val="1"/>
        <w:rPr>
          <w:rFonts w:ascii="Times New Roman" w:hAnsi="Times New Roman" w:eastAsia="黑体"/>
          <w:sz w:val="32"/>
          <w:szCs w:val="32"/>
        </w:rPr>
      </w:pPr>
      <w:bookmarkStart w:id="66" w:name="_Toc934"/>
      <w:r>
        <w:rPr>
          <w:rFonts w:ascii="Times New Roman" w:hAnsi="Times New Roman" w:eastAsia="黑体"/>
          <w:sz w:val="32"/>
          <w:szCs w:val="32"/>
        </w:rPr>
        <w:t>第三节</w:t>
      </w:r>
      <w:r>
        <w:rPr>
          <w:rFonts w:hint="eastAsia" w:ascii="Times New Roman" w:hAnsi="Times New Roman" w:eastAsia="黑体"/>
          <w:sz w:val="32"/>
          <w:szCs w:val="32"/>
          <w:lang w:val="en-US" w:eastAsia="zh-CN"/>
        </w:rPr>
        <w:t xml:space="preserve"> </w:t>
      </w:r>
      <w:r>
        <w:rPr>
          <w:rFonts w:hint="eastAsia" w:ascii="Times New Roman" w:hAnsi="Times New Roman" w:eastAsia="黑体"/>
          <w:sz w:val="32"/>
          <w:szCs w:val="32"/>
        </w:rPr>
        <w:t>深化农村改革</w:t>
      </w:r>
      <w:bookmarkEnd w:id="66"/>
    </w:p>
    <w:p w14:paraId="4BED015C">
      <w:pPr>
        <w:ind w:firstLine="643" w:firstLineChars="200"/>
        <w:rPr>
          <w:rFonts w:ascii="Times New Roman" w:hAnsi="Times New Roman" w:eastAsia="仿宋_GB2312"/>
          <w:color w:val="000000" w:themeColor="text1"/>
          <w:sz w:val="32"/>
          <w:szCs w:val="32"/>
        </w:rPr>
      </w:pPr>
      <w:r>
        <w:rPr>
          <w:rFonts w:hint="eastAsia" w:ascii="Times New Roman" w:hAnsi="Times New Roman" w:eastAsia="仿宋_GB2312"/>
          <w:b/>
          <w:sz w:val="32"/>
          <w:szCs w:val="32"/>
        </w:rPr>
        <w:t>深化农村土地制度改革。</w:t>
      </w:r>
      <w:r>
        <w:rPr>
          <w:rFonts w:hint="eastAsia" w:ascii="Times New Roman" w:hAnsi="Times New Roman" w:eastAsia="仿宋_GB2312"/>
          <w:sz w:val="32"/>
          <w:szCs w:val="32"/>
        </w:rPr>
        <w:t>用好农村土地确权成果，落实第二轮土地承包到期后再延长三十年政策。严格农村宅基地审批管理，保障村民合法合理需求。探索农村宅基地“三权分置”改革</w:t>
      </w:r>
      <w:r>
        <w:rPr>
          <w:rFonts w:hint="eastAsia" w:ascii="Times New Roman" w:hAnsi="Times New Roman" w:eastAsia="仿宋_GB2312"/>
          <w:color w:val="000000" w:themeColor="text1"/>
          <w:sz w:val="32"/>
          <w:szCs w:val="32"/>
        </w:rPr>
        <w:t>，推动多种形式的农村闲置宅基地和闲置住房盘活利用。</w:t>
      </w:r>
    </w:p>
    <w:p w14:paraId="154A4CB2">
      <w:pPr>
        <w:ind w:firstLine="643" w:firstLineChars="200"/>
        <w:rPr>
          <w:rFonts w:ascii="Times New Roman" w:hAnsi="Times New Roman" w:eastAsia="仿宋_GB2312"/>
          <w:color w:val="000000" w:themeColor="text1"/>
          <w:sz w:val="32"/>
          <w:szCs w:val="32"/>
        </w:rPr>
      </w:pPr>
      <w:r>
        <w:rPr>
          <w:rFonts w:hint="eastAsia" w:ascii="Times New Roman" w:hAnsi="Times New Roman" w:eastAsia="仿宋_GB2312"/>
          <w:b/>
          <w:color w:val="000000" w:themeColor="text1"/>
          <w:sz w:val="32"/>
          <w:szCs w:val="32"/>
        </w:rPr>
        <w:t>加快农村集体产权制度改革。</w:t>
      </w:r>
      <w:r>
        <w:rPr>
          <w:rFonts w:hint="eastAsia" w:ascii="Times New Roman" w:hAnsi="Times New Roman" w:eastAsia="仿宋_GB2312"/>
          <w:color w:val="000000" w:themeColor="text1"/>
          <w:sz w:val="32"/>
          <w:szCs w:val="32"/>
        </w:rPr>
        <w:t>深化农村集体产权制度改革，探索赋予农民集体资产股份权能，</w:t>
      </w:r>
      <w:r>
        <w:rPr>
          <w:rFonts w:ascii="Times New Roman" w:hAnsi="Times New Roman" w:eastAsia="仿宋_GB2312"/>
          <w:color w:val="000000" w:themeColor="text1"/>
          <w:sz w:val="32"/>
          <w:szCs w:val="32"/>
        </w:rPr>
        <w:t>推动资源变资产、资金变股金、农民变股东</w:t>
      </w:r>
      <w:r>
        <w:rPr>
          <w:rFonts w:hint="eastAsia" w:ascii="Times New Roman" w:hAnsi="Times New Roman" w:eastAsia="仿宋_GB2312"/>
          <w:sz w:val="32"/>
          <w:szCs w:val="32"/>
        </w:rPr>
        <w:t>“三变”改革</w:t>
      </w:r>
      <w:r>
        <w:rPr>
          <w:rFonts w:ascii="Times New Roman" w:hAnsi="Times New Roman" w:eastAsia="仿宋_GB2312"/>
          <w:color w:val="000000" w:themeColor="text1"/>
          <w:sz w:val="32"/>
          <w:szCs w:val="32"/>
        </w:rPr>
        <w:t>，</w:t>
      </w:r>
      <w:r>
        <w:rPr>
          <w:rFonts w:hint="eastAsia" w:ascii="Times New Roman" w:hAnsi="Times New Roman" w:eastAsia="仿宋_GB2312"/>
          <w:color w:val="000000" w:themeColor="text1"/>
          <w:sz w:val="32"/>
          <w:szCs w:val="32"/>
        </w:rPr>
        <w:t>建立健全农村集体经济组织监管制度。持续发展壮大村级集体经济，建设一批“明星村”。</w:t>
      </w:r>
    </w:p>
    <w:p w14:paraId="5E77BDAC">
      <w:pPr>
        <w:ind w:firstLine="643" w:firstLineChars="200"/>
        <w:rPr>
          <w:rFonts w:ascii="Times New Roman" w:hAnsi="Times New Roman" w:eastAsia="仿宋_GB2312"/>
          <w:color w:val="000000" w:themeColor="text1"/>
          <w:sz w:val="32"/>
          <w:szCs w:val="32"/>
        </w:rPr>
      </w:pPr>
      <w:r>
        <w:rPr>
          <w:rFonts w:hint="eastAsia" w:ascii="Times New Roman" w:hAnsi="Times New Roman" w:eastAsia="仿宋_GB2312"/>
          <w:b/>
          <w:color w:val="000000" w:themeColor="text1"/>
          <w:sz w:val="32"/>
          <w:szCs w:val="32"/>
          <w:lang w:eastAsia="zh-CN"/>
        </w:rPr>
        <w:t>完善农业经营体系。</w:t>
      </w:r>
      <w:r>
        <w:rPr>
          <w:rFonts w:hint="eastAsia" w:ascii="Times New Roman" w:hAnsi="Times New Roman" w:eastAsia="仿宋_GB2312"/>
          <w:color w:val="000000" w:themeColor="text1"/>
          <w:sz w:val="32"/>
          <w:szCs w:val="32"/>
        </w:rPr>
        <w:t>规范农村土地流转，发展多种形式的适度规模经</w:t>
      </w:r>
      <w:r>
        <w:rPr>
          <w:rFonts w:hint="eastAsia" w:ascii="Times New Roman" w:hAnsi="Times New Roman" w:eastAsia="仿宋_GB2312"/>
          <w:color w:val="000000" w:themeColor="text1"/>
          <w:sz w:val="32"/>
          <w:szCs w:val="32"/>
          <w:lang w:eastAsia="zh-CN"/>
        </w:rPr>
        <w:t>营。培育社会化服务组织，</w:t>
      </w:r>
      <w:r>
        <w:rPr>
          <w:rFonts w:hint="eastAsia" w:ascii="Times New Roman" w:hAnsi="Times New Roman" w:eastAsia="仿宋_GB2312"/>
          <w:color w:val="000000" w:themeColor="text1"/>
          <w:sz w:val="32"/>
          <w:szCs w:val="32"/>
        </w:rPr>
        <w:t>实现小农户和现代农业有机衔接。</w:t>
      </w:r>
      <w:r>
        <w:rPr>
          <w:rFonts w:ascii="Times New Roman" w:hAnsi="Times New Roman" w:eastAsia="仿宋_GB2312"/>
          <w:color w:val="000000" w:themeColor="text1"/>
          <w:sz w:val="32"/>
          <w:szCs w:val="32"/>
        </w:rPr>
        <w:t>扶持培育</w:t>
      </w:r>
      <w:r>
        <w:rPr>
          <w:rFonts w:hint="eastAsia" w:ascii="Times New Roman" w:hAnsi="Times New Roman" w:eastAsia="仿宋_GB2312"/>
          <w:color w:val="000000" w:themeColor="text1"/>
          <w:sz w:val="32"/>
          <w:szCs w:val="32"/>
          <w:lang w:val="en-US" w:eastAsia="zh-CN"/>
        </w:rPr>
        <w:t>25</w:t>
      </w:r>
      <w:r>
        <w:rPr>
          <w:rFonts w:hint="eastAsia" w:ascii="Times New Roman" w:hAnsi="Times New Roman" w:eastAsia="仿宋_GB2312"/>
          <w:color w:val="000000" w:themeColor="text1"/>
          <w:sz w:val="32"/>
          <w:szCs w:val="32"/>
        </w:rPr>
        <w:t>家</w:t>
      </w:r>
      <w:r>
        <w:rPr>
          <w:rFonts w:ascii="Times New Roman" w:hAnsi="Times New Roman" w:eastAsia="仿宋_GB2312"/>
          <w:color w:val="000000" w:themeColor="text1"/>
          <w:sz w:val="32"/>
          <w:szCs w:val="32"/>
        </w:rPr>
        <w:t>省级农业产业化重点龙头企业，形成引领行业发展的“排头兵”</w:t>
      </w:r>
      <w:r>
        <w:rPr>
          <w:rFonts w:hint="eastAsia" w:ascii="Times New Roman" w:hAnsi="Times New Roman" w:eastAsia="仿宋_GB2312"/>
          <w:color w:val="000000" w:themeColor="text1"/>
          <w:sz w:val="32"/>
          <w:szCs w:val="32"/>
        </w:rPr>
        <w:t>，培育壮大</w:t>
      </w:r>
      <w:r>
        <w:rPr>
          <w:rFonts w:ascii="Times New Roman" w:hAnsi="Times New Roman" w:eastAsia="仿宋_GB2312"/>
          <w:color w:val="000000" w:themeColor="text1"/>
          <w:sz w:val="32"/>
          <w:szCs w:val="32"/>
        </w:rPr>
        <w:t>农民合作社、家庭农场、产业化联合体</w:t>
      </w:r>
      <w:r>
        <w:rPr>
          <w:rFonts w:hint="eastAsia" w:ascii="Times New Roman" w:hAnsi="Times New Roman" w:eastAsia="仿宋_GB2312"/>
          <w:color w:val="000000" w:themeColor="text1"/>
          <w:sz w:val="32"/>
          <w:szCs w:val="32"/>
        </w:rPr>
        <w:t>等各类新型农业经营主体</w:t>
      </w:r>
      <w:r>
        <w:rPr>
          <w:rFonts w:ascii="Times New Roman" w:hAnsi="Times New Roman" w:eastAsia="仿宋_GB2312"/>
          <w:color w:val="000000" w:themeColor="text1"/>
          <w:sz w:val="32"/>
          <w:szCs w:val="32"/>
        </w:rPr>
        <w:t>。</w:t>
      </w:r>
    </w:p>
    <w:p w14:paraId="5EEC03B9">
      <w:pPr>
        <w:pStyle w:val="2"/>
      </w:pPr>
    </w:p>
    <w:p w14:paraId="1A96C06E">
      <w:pPr>
        <w:spacing w:before="100" w:beforeAutospacing="1" w:after="100" w:afterAutospacing="1"/>
        <w:jc w:val="center"/>
        <w:outlineLvl w:val="1"/>
        <w:rPr>
          <w:rFonts w:ascii="Times New Roman" w:hAnsi="Times New Roman" w:eastAsia="黑体"/>
          <w:sz w:val="32"/>
          <w:szCs w:val="32"/>
        </w:rPr>
      </w:pPr>
      <w:bookmarkStart w:id="67" w:name="_Toc7183"/>
      <w:r>
        <w:rPr>
          <w:rFonts w:ascii="Times New Roman" w:hAnsi="Times New Roman" w:eastAsia="黑体"/>
          <w:sz w:val="32"/>
          <w:szCs w:val="32"/>
        </w:rPr>
        <w:t>第四节</w:t>
      </w:r>
      <w:r>
        <w:rPr>
          <w:rFonts w:hint="eastAsia" w:ascii="Times New Roman" w:hAnsi="Times New Roman" w:eastAsia="黑体"/>
          <w:sz w:val="32"/>
          <w:szCs w:val="32"/>
          <w:lang w:val="en-US" w:eastAsia="zh-CN"/>
        </w:rPr>
        <w:t xml:space="preserve"> </w:t>
      </w:r>
      <w:r>
        <w:rPr>
          <w:rFonts w:hint="eastAsia" w:ascii="Times New Roman" w:hAnsi="Times New Roman" w:eastAsia="黑体"/>
          <w:sz w:val="32"/>
          <w:szCs w:val="32"/>
        </w:rPr>
        <w:t>实现巩固脱贫成果与乡村振兴有效衔接</w:t>
      </w:r>
      <w:bookmarkEnd w:id="67"/>
    </w:p>
    <w:p w14:paraId="4FD56481">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严格落实“四个不摘”要求，分类做好脱贫攻坚政策统筹衔接，推动脱贫攻坚特惠政策转变为乡村振兴普惠政策。坚决守住脱贫攻坚成果，建立农村低收入人口和欠发达村的帮扶机制，健全针对脱贫不稳定户、边缘易致贫户的防止返贫监测和帮扶机制，保持财政投入、帮扶政策总体稳定，接续推进已出列贫困村有序发展。做好易地扶贫搬迁后续帮扶工作，加强扶贫项目资金资产管理和监督，推动特色产业可持续发展，加大就业扶持力度，确保稳定就业。健全农村社会保障和救助制度。实施“百企兴百村”行动，积极引导社会力量参与帮扶。培育提升脱贫群众发展生产和务工经商的基本能力，激发脱贫群众内生动力。</w:t>
      </w:r>
      <w:r>
        <w:br w:type="page"/>
      </w:r>
    </w:p>
    <w:p w14:paraId="72353945">
      <w:pPr>
        <w:pStyle w:val="3"/>
        <w:jc w:val="center"/>
        <w:rPr>
          <w:rFonts w:eastAsia="方正小标宋简体"/>
        </w:rPr>
      </w:pPr>
      <w:bookmarkStart w:id="68" w:name="_Toc26568"/>
      <w:r>
        <w:rPr>
          <w:rFonts w:hint="eastAsia" w:eastAsia="方正小标宋简体"/>
        </w:rPr>
        <w:t>优化空间格局，促进城乡区域协调发展</w:t>
      </w:r>
      <w:bookmarkEnd w:id="68"/>
    </w:p>
    <w:p w14:paraId="5F30597F">
      <w:pPr>
        <w:ind w:firstLine="640" w:firstLineChars="200"/>
        <w:rPr>
          <w:rFonts w:ascii="Times New Roman" w:hAnsi="Times New Roman" w:eastAsia="仿宋_GB2312"/>
          <w:sz w:val="32"/>
          <w:szCs w:val="40"/>
        </w:rPr>
      </w:pPr>
      <w:r>
        <w:rPr>
          <w:rFonts w:ascii="Times New Roman" w:hAnsi="Times New Roman" w:eastAsia="仿宋_GB2312"/>
          <w:sz w:val="32"/>
          <w:szCs w:val="40"/>
        </w:rPr>
        <w:t>落实主体功能区战略，</w:t>
      </w:r>
      <w:r>
        <w:rPr>
          <w:rFonts w:hint="eastAsia" w:ascii="Times New Roman" w:hAnsi="Times New Roman" w:eastAsia="仿宋_GB2312"/>
          <w:sz w:val="32"/>
          <w:szCs w:val="40"/>
        </w:rPr>
        <w:t>深入实施国土空间规划，坚定不移走以人为核心的新型城镇化道路，统筹推进城乡融合发展，构建高质量国土空间发展格局。</w:t>
      </w:r>
    </w:p>
    <w:p w14:paraId="3E90729F">
      <w:pPr>
        <w:spacing w:before="100" w:beforeAutospacing="1" w:after="100" w:afterAutospacing="1"/>
        <w:jc w:val="center"/>
        <w:outlineLvl w:val="1"/>
        <w:rPr>
          <w:rFonts w:ascii="Times New Roman" w:hAnsi="Times New Roman" w:eastAsia="黑体"/>
          <w:sz w:val="32"/>
          <w:szCs w:val="32"/>
        </w:rPr>
      </w:pPr>
      <w:bookmarkStart w:id="69" w:name="_Toc10284"/>
      <w:r>
        <w:rPr>
          <w:rFonts w:ascii="Times New Roman" w:hAnsi="Times New Roman" w:eastAsia="黑体"/>
          <w:sz w:val="32"/>
          <w:szCs w:val="32"/>
        </w:rPr>
        <w:t>第</w:t>
      </w:r>
      <w:r>
        <w:rPr>
          <w:rFonts w:hint="eastAsia" w:ascii="Times New Roman" w:hAnsi="Times New Roman" w:eastAsia="黑体"/>
          <w:sz w:val="32"/>
          <w:szCs w:val="32"/>
        </w:rPr>
        <w:t>一</w:t>
      </w:r>
      <w:r>
        <w:rPr>
          <w:rFonts w:ascii="Times New Roman" w:hAnsi="Times New Roman" w:eastAsia="黑体"/>
          <w:sz w:val="32"/>
          <w:szCs w:val="32"/>
        </w:rPr>
        <w:t>节</w:t>
      </w:r>
      <w:r>
        <w:rPr>
          <w:rFonts w:hint="eastAsia" w:ascii="Times New Roman" w:hAnsi="Times New Roman" w:eastAsia="黑体"/>
          <w:sz w:val="32"/>
          <w:szCs w:val="32"/>
          <w:lang w:val="en-US" w:eastAsia="zh-CN"/>
        </w:rPr>
        <w:t xml:space="preserve"> </w:t>
      </w:r>
      <w:r>
        <w:rPr>
          <w:rFonts w:hint="eastAsia" w:ascii="Times New Roman" w:hAnsi="Times New Roman" w:eastAsia="黑体"/>
          <w:sz w:val="32"/>
          <w:szCs w:val="32"/>
        </w:rPr>
        <w:t>优化国土空间布局</w:t>
      </w:r>
      <w:bookmarkEnd w:id="69"/>
    </w:p>
    <w:p w14:paraId="6854672C">
      <w:pPr>
        <w:ind w:firstLine="643" w:firstLineChars="200"/>
        <w:rPr>
          <w:rFonts w:ascii="Times New Roman" w:hAnsi="Times New Roman" w:eastAsia="仿宋_GB2312"/>
          <w:sz w:val="32"/>
          <w:szCs w:val="40"/>
        </w:rPr>
      </w:pPr>
      <w:r>
        <w:rPr>
          <w:rFonts w:hint="eastAsia" w:ascii="Times New Roman" w:hAnsi="Times New Roman" w:eastAsia="仿宋_GB2312"/>
          <w:b/>
          <w:bCs/>
          <w:color w:val="000000"/>
          <w:sz w:val="32"/>
          <w:szCs w:val="32"/>
          <w:lang w:val="en-US" w:eastAsia="zh-CN"/>
        </w:rPr>
        <w:t>强化</w:t>
      </w:r>
      <w:r>
        <w:rPr>
          <w:rFonts w:hint="eastAsia" w:ascii="Times New Roman" w:hAnsi="Times New Roman" w:eastAsia="仿宋_GB2312"/>
          <w:b/>
          <w:bCs/>
          <w:color w:val="000000"/>
          <w:sz w:val="32"/>
          <w:szCs w:val="32"/>
          <w:lang w:val="zh-CN"/>
        </w:rPr>
        <w:t>主体功能区</w:t>
      </w:r>
      <w:r>
        <w:rPr>
          <w:rFonts w:hint="eastAsia" w:ascii="Times New Roman" w:hAnsi="Times New Roman" w:eastAsia="仿宋_GB2312"/>
          <w:b/>
          <w:bCs/>
          <w:color w:val="000000"/>
          <w:sz w:val="32"/>
          <w:szCs w:val="32"/>
          <w:lang w:val="en-US" w:eastAsia="zh-CN"/>
        </w:rPr>
        <w:t>导向</w:t>
      </w:r>
      <w:r>
        <w:rPr>
          <w:rFonts w:hint="eastAsia" w:ascii="Times New Roman" w:hAnsi="Times New Roman" w:eastAsia="仿宋_GB2312"/>
          <w:b/>
          <w:bCs/>
          <w:color w:val="000000"/>
          <w:sz w:val="32"/>
          <w:szCs w:val="32"/>
          <w:lang w:val="zh-CN"/>
        </w:rPr>
        <w:t>。</w:t>
      </w:r>
      <w:r>
        <w:rPr>
          <w:rFonts w:ascii="Times New Roman" w:hAnsi="Times New Roman" w:eastAsia="仿宋_GB2312"/>
          <w:color w:val="000000" w:themeColor="text1"/>
          <w:sz w:val="32"/>
          <w:szCs w:val="40"/>
        </w:rPr>
        <w:t>规范开发秩序，优化开发格局，提高国土开发利用效率和综合承载力。科学划定市域各类主体功能区域</w:t>
      </w:r>
      <w:r>
        <w:rPr>
          <w:rFonts w:hint="eastAsia" w:ascii="Times New Roman" w:hAnsi="Times New Roman" w:eastAsia="仿宋_GB2312"/>
          <w:color w:val="000000" w:themeColor="text1"/>
          <w:sz w:val="32"/>
          <w:szCs w:val="40"/>
        </w:rPr>
        <w:t>，</w:t>
      </w:r>
      <w:r>
        <w:rPr>
          <w:rFonts w:ascii="Times New Roman" w:hAnsi="Times New Roman" w:eastAsia="仿宋_GB2312"/>
          <w:sz w:val="32"/>
          <w:szCs w:val="40"/>
        </w:rPr>
        <w:t>统筹各主体功能区协调发展</w:t>
      </w:r>
      <w:r>
        <w:rPr>
          <w:rFonts w:hint="eastAsia" w:ascii="Times New Roman" w:hAnsi="Times New Roman" w:eastAsia="仿宋_GB2312"/>
          <w:sz w:val="32"/>
          <w:szCs w:val="40"/>
        </w:rPr>
        <w:t>。</w:t>
      </w:r>
      <w:r>
        <w:rPr>
          <w:rFonts w:ascii="Times New Roman" w:hAnsi="Times New Roman" w:eastAsia="仿宋_GB2312"/>
          <w:sz w:val="32"/>
          <w:szCs w:val="40"/>
        </w:rPr>
        <w:t>推动城市化地区高效集聚经济和人口</w:t>
      </w:r>
      <w:r>
        <w:rPr>
          <w:rFonts w:hint="eastAsia" w:ascii="Times New Roman" w:hAnsi="Times New Roman" w:eastAsia="仿宋_GB2312"/>
          <w:sz w:val="32"/>
          <w:szCs w:val="40"/>
        </w:rPr>
        <w:t>，</w:t>
      </w:r>
      <w:r>
        <w:rPr>
          <w:rFonts w:ascii="Times New Roman" w:hAnsi="Times New Roman" w:eastAsia="仿宋_GB2312"/>
          <w:sz w:val="32"/>
          <w:szCs w:val="40"/>
        </w:rPr>
        <w:t>增强产业配套能力</w:t>
      </w:r>
      <w:r>
        <w:rPr>
          <w:rFonts w:hint="eastAsia" w:ascii="Times New Roman" w:hAnsi="Times New Roman" w:eastAsia="仿宋_GB2312"/>
          <w:sz w:val="32"/>
          <w:szCs w:val="40"/>
        </w:rPr>
        <w:t>。</w:t>
      </w:r>
      <w:r>
        <w:rPr>
          <w:rFonts w:ascii="Times New Roman" w:hAnsi="Times New Roman" w:eastAsia="仿宋_GB2312"/>
          <w:sz w:val="32"/>
          <w:szCs w:val="40"/>
        </w:rPr>
        <w:t>推动农产品主产区增强农业生产能力</w:t>
      </w:r>
      <w:r>
        <w:rPr>
          <w:rFonts w:hint="eastAsia" w:ascii="Times New Roman" w:hAnsi="Times New Roman" w:eastAsia="仿宋_GB2312"/>
          <w:sz w:val="32"/>
          <w:szCs w:val="40"/>
        </w:rPr>
        <w:t>，</w:t>
      </w:r>
      <w:r>
        <w:rPr>
          <w:rFonts w:ascii="Times New Roman" w:hAnsi="Times New Roman" w:eastAsia="仿宋_GB2312"/>
          <w:sz w:val="32"/>
          <w:szCs w:val="40"/>
        </w:rPr>
        <w:t>引导农产品加工</w:t>
      </w:r>
      <w:r>
        <w:rPr>
          <w:rFonts w:hint="eastAsia" w:ascii="Times New Roman" w:hAnsi="Times New Roman" w:eastAsia="仿宋_GB2312"/>
          <w:sz w:val="32"/>
          <w:szCs w:val="40"/>
        </w:rPr>
        <w:t>、流通、储运等企业向农产品主产区集聚发展。支持生态功能区加强生态环境保护、提供生产产品，因地制宜发展旅游、农林产品生产和加工、观光休闲农业等特色产业。加强禁止开发区域的自然生态系统保护和修复。</w:t>
      </w:r>
    </w:p>
    <w:p w14:paraId="64A76E51">
      <w:pPr>
        <w:ind w:firstLine="643" w:firstLineChars="200"/>
      </w:pPr>
      <w:r>
        <w:rPr>
          <w:rFonts w:hint="eastAsia" w:ascii="Times New Roman" w:hAnsi="Times New Roman" w:eastAsia="仿宋_GB2312"/>
          <w:b/>
          <w:bCs/>
          <w:color w:val="000000"/>
          <w:sz w:val="32"/>
          <w:szCs w:val="32"/>
          <w:lang w:val="zh-CN"/>
        </w:rPr>
        <w:t>健全国土空间规划体系。</w:t>
      </w:r>
      <w:r>
        <w:rPr>
          <w:rFonts w:ascii="Times New Roman" w:hAnsi="Times New Roman" w:eastAsia="仿宋_GB2312"/>
          <w:bCs/>
          <w:color w:val="000000"/>
          <w:sz w:val="32"/>
          <w:szCs w:val="32"/>
          <w:lang w:val="zh-CN"/>
        </w:rPr>
        <w:t>以市发展规划为统领，强化国土空间规划基础性作用，形成市域国土空间开发保护“一张图”。</w:t>
      </w:r>
      <w:r>
        <w:rPr>
          <w:rFonts w:hint="eastAsia" w:ascii="Times New Roman" w:hAnsi="Times New Roman" w:eastAsia="仿宋_GB2312"/>
          <w:bCs/>
          <w:color w:val="000000"/>
          <w:sz w:val="32"/>
          <w:szCs w:val="32"/>
          <w:lang w:val="zh-CN"/>
        </w:rPr>
        <w:t>在资源环境承载能力和国土空间开发适宜性评价基础上，发挥各镇街比较优势，</w:t>
      </w:r>
      <w:r>
        <w:rPr>
          <w:rFonts w:ascii="Times New Roman" w:hAnsi="Times New Roman" w:eastAsia="仿宋_GB2312"/>
          <w:bCs/>
          <w:color w:val="000000"/>
          <w:sz w:val="32"/>
          <w:szCs w:val="32"/>
          <w:lang w:val="zh-CN"/>
        </w:rPr>
        <w:t>科学有序统筹布局生态、农业、城镇等功能空间，合理划定生态保护红线、永久基本农田、城镇开发边界等空间管控边界。</w:t>
      </w:r>
      <w:r>
        <w:rPr>
          <w:rFonts w:hint="eastAsia" w:ascii="Times New Roman" w:hAnsi="Times New Roman" w:eastAsia="仿宋_GB2312"/>
          <w:bCs/>
          <w:color w:val="000000"/>
          <w:sz w:val="32"/>
          <w:szCs w:val="32"/>
          <w:lang w:val="zh-CN"/>
        </w:rPr>
        <w:t>打造G206-无岳高速、江淮运河两条发展轴，促进城镇化工业化集聚</w:t>
      </w:r>
      <w:r>
        <w:rPr>
          <w:rFonts w:hint="eastAsia" w:ascii="Times New Roman" w:hAnsi="Times New Roman" w:eastAsia="仿宋_GB2312"/>
          <w:bCs/>
          <w:color w:val="000000" w:themeColor="text1"/>
          <w:sz w:val="32"/>
          <w:szCs w:val="32"/>
          <w:lang w:val="zh-CN"/>
        </w:rPr>
        <w:t>发展。为抢抓合肥都市圈</w:t>
      </w:r>
      <w:r>
        <w:rPr>
          <w:rFonts w:hint="eastAsia" w:ascii="Times New Roman" w:hAnsi="Times New Roman" w:eastAsia="仿宋_GB2312"/>
          <w:bCs/>
          <w:color w:val="000000" w:themeColor="text1"/>
          <w:sz w:val="32"/>
          <w:szCs w:val="32"/>
          <w:lang w:val="en-US" w:eastAsia="zh-CN"/>
        </w:rPr>
        <w:t>和</w:t>
      </w:r>
      <w:r>
        <w:rPr>
          <w:rFonts w:hint="eastAsia" w:ascii="Times New Roman" w:hAnsi="Times New Roman" w:eastAsia="仿宋_GB2312"/>
          <w:bCs/>
          <w:color w:val="000000" w:themeColor="text1"/>
          <w:sz w:val="32"/>
          <w:szCs w:val="32"/>
          <w:lang w:val="zh-CN"/>
        </w:rPr>
        <w:t>长三角一体化发展新机遇提供土地要素保障，有序开展以桐城经开区南北片区、南部新城、范岗等</w:t>
      </w:r>
      <w:r>
        <w:rPr>
          <w:rFonts w:hint="eastAsia" w:ascii="Times New Roman" w:hAnsi="Times New Roman" w:eastAsia="仿宋_GB2312"/>
          <w:bCs/>
          <w:color w:val="000000" w:themeColor="text1"/>
          <w:sz w:val="32"/>
          <w:szCs w:val="32"/>
          <w:lang w:val="en-US" w:eastAsia="zh-CN"/>
        </w:rPr>
        <w:t>镇</w:t>
      </w:r>
      <w:r>
        <w:rPr>
          <w:rFonts w:hint="eastAsia" w:ascii="Times New Roman" w:hAnsi="Times New Roman" w:eastAsia="仿宋_GB2312"/>
          <w:bCs/>
          <w:color w:val="000000" w:themeColor="text1"/>
          <w:sz w:val="32"/>
          <w:szCs w:val="32"/>
          <w:lang w:val="zh-CN"/>
        </w:rPr>
        <w:t>29个片区土地征收成片开发方案的编制与实施。稳妥推</w:t>
      </w:r>
      <w:r>
        <w:rPr>
          <w:rFonts w:hint="eastAsia" w:ascii="Times New Roman" w:hAnsi="Times New Roman" w:eastAsia="仿宋_GB2312"/>
          <w:bCs/>
          <w:color w:val="000000"/>
          <w:sz w:val="32"/>
          <w:szCs w:val="32"/>
          <w:lang w:val="zh-CN"/>
        </w:rPr>
        <w:t>进全域土地综合整治，释放乡村土地资源。</w:t>
      </w:r>
    </w:p>
    <w:p w14:paraId="7498F6CD">
      <w:pPr>
        <w:spacing w:before="100" w:beforeAutospacing="1" w:after="100" w:afterAutospacing="1"/>
        <w:jc w:val="center"/>
        <w:outlineLvl w:val="1"/>
        <w:rPr>
          <w:rFonts w:ascii="Times New Roman" w:hAnsi="Times New Roman" w:eastAsia="黑体"/>
          <w:sz w:val="32"/>
          <w:szCs w:val="32"/>
        </w:rPr>
      </w:pPr>
      <w:bookmarkStart w:id="70" w:name="_Toc5381"/>
      <w:r>
        <w:rPr>
          <w:rFonts w:ascii="Times New Roman" w:hAnsi="Times New Roman" w:eastAsia="黑体"/>
          <w:sz w:val="32"/>
          <w:szCs w:val="32"/>
        </w:rPr>
        <w:t>第</w:t>
      </w:r>
      <w:r>
        <w:rPr>
          <w:rFonts w:hint="eastAsia" w:ascii="Times New Roman" w:hAnsi="Times New Roman" w:eastAsia="黑体"/>
          <w:sz w:val="32"/>
          <w:szCs w:val="32"/>
        </w:rPr>
        <w:t>二</w:t>
      </w:r>
      <w:r>
        <w:rPr>
          <w:rFonts w:ascii="Times New Roman" w:hAnsi="Times New Roman" w:eastAsia="黑体"/>
          <w:sz w:val="32"/>
          <w:szCs w:val="32"/>
        </w:rPr>
        <w:t>节</w:t>
      </w:r>
      <w:r>
        <w:rPr>
          <w:rFonts w:hint="eastAsia" w:ascii="Times New Roman" w:hAnsi="Times New Roman" w:eastAsia="黑体"/>
          <w:sz w:val="32"/>
          <w:szCs w:val="32"/>
          <w:lang w:val="en-US" w:eastAsia="zh-CN"/>
        </w:rPr>
        <w:t xml:space="preserve"> </w:t>
      </w:r>
      <w:r>
        <w:rPr>
          <w:rFonts w:hint="eastAsia" w:ascii="Times New Roman" w:hAnsi="Times New Roman" w:eastAsia="黑体"/>
          <w:sz w:val="32"/>
          <w:szCs w:val="32"/>
        </w:rPr>
        <w:t>加快完善新型城镇体系</w:t>
      </w:r>
      <w:bookmarkEnd w:id="70"/>
    </w:p>
    <w:p w14:paraId="072F2A65">
      <w:pPr>
        <w:ind w:firstLine="640" w:firstLineChars="200"/>
        <w:rPr>
          <w:rFonts w:ascii="Times New Roman" w:hAnsi="Times New Roman" w:eastAsia="仿宋_GB2312"/>
          <w:bCs/>
          <w:color w:val="000000"/>
          <w:sz w:val="32"/>
          <w:szCs w:val="32"/>
          <w:lang w:val="zh-CN"/>
        </w:rPr>
      </w:pPr>
      <w:r>
        <w:rPr>
          <w:rFonts w:ascii="Times New Roman" w:hAnsi="Times New Roman" w:eastAsia="仿宋_GB2312"/>
          <w:bCs/>
          <w:color w:val="000000"/>
          <w:sz w:val="32"/>
          <w:szCs w:val="32"/>
          <w:lang w:val="zh-CN"/>
        </w:rPr>
        <w:t>按照统筹规划、合理布局、分工协作的原则，优化城镇规模结构和空间布局。强化主城区和南部新城次中心双核，</w:t>
      </w:r>
      <w:r>
        <w:rPr>
          <w:rFonts w:hint="eastAsia" w:ascii="Times New Roman" w:hAnsi="Times New Roman" w:eastAsia="仿宋_GB2312"/>
          <w:bCs/>
          <w:color w:val="000000"/>
          <w:sz w:val="32"/>
          <w:szCs w:val="32"/>
          <w:lang w:val="zh-CN"/>
        </w:rPr>
        <w:t>打造G206-无岳高速、江淮运河两条发展轴，推动乡镇特色发展，构建“</w:t>
      </w:r>
      <w:r>
        <w:rPr>
          <w:rFonts w:ascii="Times New Roman" w:hAnsi="Times New Roman" w:eastAsia="仿宋_GB2312"/>
          <w:bCs/>
          <w:color w:val="000000"/>
          <w:sz w:val="32"/>
          <w:szCs w:val="32"/>
          <w:lang w:val="zh-CN"/>
        </w:rPr>
        <w:t>双核</w:t>
      </w:r>
      <w:r>
        <w:rPr>
          <w:rFonts w:hint="eastAsia" w:ascii="Times New Roman" w:hAnsi="Times New Roman" w:eastAsia="仿宋_GB2312"/>
          <w:bCs/>
          <w:color w:val="000000"/>
          <w:sz w:val="32"/>
          <w:szCs w:val="32"/>
          <w:lang w:val="zh-CN"/>
        </w:rPr>
        <w:t>、双轴、多点”的新型城镇体系。</w:t>
      </w:r>
    </w:p>
    <w:p w14:paraId="2D810E9F">
      <w:pPr>
        <w:ind w:firstLine="643" w:firstLineChars="200"/>
        <w:rPr>
          <w:rFonts w:ascii="Times New Roman" w:hAnsi="Times New Roman" w:eastAsia="仿宋_GB2312"/>
          <w:bCs/>
          <w:color w:val="000000"/>
          <w:sz w:val="32"/>
          <w:szCs w:val="32"/>
          <w:lang w:val="zh-CN"/>
        </w:rPr>
      </w:pPr>
      <w:r>
        <w:rPr>
          <w:rFonts w:ascii="Times New Roman" w:hAnsi="Times New Roman" w:eastAsia="仿宋_GB2312"/>
          <w:b/>
          <w:bCs/>
          <w:color w:val="000000"/>
          <w:sz w:val="32"/>
          <w:szCs w:val="32"/>
          <w:lang w:val="zh-CN"/>
        </w:rPr>
        <w:t>做强主城核心增长极。</w:t>
      </w:r>
      <w:r>
        <w:rPr>
          <w:rFonts w:ascii="Times New Roman" w:hAnsi="Times New Roman" w:eastAsia="仿宋_GB2312"/>
          <w:bCs/>
          <w:color w:val="000000"/>
          <w:sz w:val="32"/>
          <w:szCs w:val="32"/>
          <w:lang w:val="zh-CN"/>
        </w:rPr>
        <w:t>以中等城市标准规划建设</w:t>
      </w:r>
      <w:r>
        <w:rPr>
          <w:rFonts w:hint="eastAsia" w:ascii="Times New Roman" w:hAnsi="Times New Roman" w:eastAsia="仿宋_GB2312"/>
          <w:bCs/>
          <w:color w:val="000000"/>
          <w:sz w:val="32"/>
          <w:szCs w:val="32"/>
          <w:lang w:val="zh-CN"/>
        </w:rPr>
        <w:t>中心城区</w:t>
      </w:r>
      <w:r>
        <w:rPr>
          <w:rFonts w:ascii="Times New Roman" w:hAnsi="Times New Roman" w:eastAsia="仿宋_GB2312"/>
          <w:bCs/>
          <w:color w:val="000000"/>
          <w:sz w:val="32"/>
          <w:szCs w:val="32"/>
          <w:lang w:val="zh-CN"/>
        </w:rPr>
        <w:t>，提升城市能级。坚持“东进、南延、北拓</w:t>
      </w:r>
      <w:r>
        <w:rPr>
          <w:rFonts w:hint="eastAsia" w:ascii="Times New Roman" w:hAnsi="Times New Roman" w:eastAsia="仿宋_GB2312"/>
          <w:bCs/>
          <w:color w:val="000000"/>
          <w:sz w:val="32"/>
          <w:szCs w:val="32"/>
          <w:lang w:val="zh-CN"/>
        </w:rPr>
        <w:t>、西控</w:t>
      </w:r>
      <w:r>
        <w:rPr>
          <w:rFonts w:ascii="Times New Roman" w:hAnsi="Times New Roman" w:eastAsia="仿宋_GB2312"/>
          <w:bCs/>
          <w:color w:val="000000"/>
          <w:sz w:val="32"/>
          <w:szCs w:val="32"/>
          <w:lang w:val="zh-CN"/>
        </w:rPr>
        <w:t>”空间发展策略，加快推进老城区、西南片区、经开区、东部新城等主城板块联动发展。以老城区为核心推进历史文化名城建设，强化历史文化街区和城市风貌保护，有序疏解老城区内过密人口和部分城市职能，不断提升生活品质、环境品质、人文品质，打造中央文化区。</w:t>
      </w:r>
      <w:r>
        <w:rPr>
          <w:rFonts w:hint="eastAsia" w:ascii="Times New Roman" w:hAnsi="Times New Roman" w:eastAsia="仿宋_GB2312"/>
          <w:bCs/>
          <w:color w:val="000000"/>
          <w:sz w:val="32"/>
          <w:szCs w:val="32"/>
          <w:lang w:val="zh-CN"/>
        </w:rPr>
        <w:t>实施“腾笼换鸟”工程，盘活低效闲置土地、厂房，逐个破解“城中村”难题，提升老城精细化、集约化发展水平。</w:t>
      </w:r>
      <w:r>
        <w:rPr>
          <w:rFonts w:ascii="Times New Roman" w:hAnsi="Times New Roman" w:eastAsia="仿宋_GB2312"/>
          <w:bCs/>
          <w:color w:val="000000"/>
          <w:sz w:val="32"/>
          <w:szCs w:val="32"/>
          <w:lang w:val="zh-CN"/>
        </w:rPr>
        <w:t>进一步优化西南片区城市基础设施建设水平，提升教育、卫生、养老、文化等公共服务能力，打造城市综合服务区。加快经开区产城融合发展，推进经开区扩区</w:t>
      </w:r>
      <w:r>
        <w:rPr>
          <w:rFonts w:hint="eastAsia" w:ascii="Times New Roman" w:hAnsi="Times New Roman" w:eastAsia="仿宋_GB2312"/>
          <w:bCs/>
          <w:color w:val="000000"/>
          <w:sz w:val="32"/>
          <w:szCs w:val="32"/>
          <w:lang w:val="zh-CN"/>
        </w:rPr>
        <w:t>，</w:t>
      </w:r>
      <w:r>
        <w:rPr>
          <w:rFonts w:ascii="Times New Roman" w:hAnsi="Times New Roman" w:eastAsia="仿宋_GB2312"/>
          <w:bCs/>
          <w:color w:val="000000"/>
          <w:sz w:val="32"/>
          <w:szCs w:val="32"/>
          <w:lang w:val="zh-CN"/>
        </w:rPr>
        <w:t>强化产业支撑，合理优化区内三类空间布局，打造新兴产业新型工业强市主板块。以国际视野国际标准建设东部新城，加快商务、金融等高端要素集聚，打造城市中央商务区。依托合安</w:t>
      </w:r>
      <w:r>
        <w:rPr>
          <w:rFonts w:hint="eastAsia" w:ascii="Times New Roman" w:hAnsi="Times New Roman" w:eastAsia="仿宋_GB2312"/>
          <w:bCs/>
          <w:color w:val="000000"/>
          <w:sz w:val="32"/>
          <w:szCs w:val="32"/>
          <w:lang w:val="zh-CN"/>
        </w:rPr>
        <w:t>高铁</w:t>
      </w:r>
      <w:r>
        <w:rPr>
          <w:rFonts w:ascii="Times New Roman" w:hAnsi="Times New Roman" w:eastAsia="仿宋_GB2312"/>
          <w:bCs/>
          <w:color w:val="000000"/>
          <w:sz w:val="32"/>
          <w:szCs w:val="32"/>
          <w:lang w:val="zh-CN"/>
        </w:rPr>
        <w:t>桐城站，</w:t>
      </w:r>
      <w:r>
        <w:rPr>
          <w:rFonts w:hint="eastAsia" w:ascii="Times New Roman" w:hAnsi="Times New Roman" w:eastAsia="仿宋_GB2312"/>
          <w:bCs/>
          <w:color w:val="000000"/>
          <w:sz w:val="32"/>
          <w:szCs w:val="32"/>
          <w:lang w:val="zh-CN"/>
        </w:rPr>
        <w:t>积极发展现代物流业，</w:t>
      </w:r>
      <w:r>
        <w:rPr>
          <w:rFonts w:ascii="Times New Roman" w:hAnsi="Times New Roman" w:eastAsia="仿宋_GB2312"/>
          <w:bCs/>
          <w:color w:val="000000"/>
          <w:sz w:val="32"/>
          <w:szCs w:val="32"/>
          <w:lang w:val="zh-CN"/>
        </w:rPr>
        <w:t>加快开发区至高铁站快速通道及城市路网建设。推动范岗、孔城、吕亭等周边镇融入主城区联动发展，打造职住平衡、生态宜居、交通便利的卫星镇，推进多中心、郊区化发展。到2025年，主城区及周边协调发展区集聚人口</w:t>
      </w:r>
      <w:r>
        <w:rPr>
          <w:rFonts w:hint="eastAsia" w:ascii="Times New Roman" w:hAnsi="Times New Roman" w:eastAsia="仿宋_GB2312"/>
          <w:bCs/>
          <w:color w:val="000000"/>
          <w:sz w:val="32"/>
          <w:szCs w:val="32"/>
          <w:lang w:val="en-US" w:eastAsia="zh-CN"/>
        </w:rPr>
        <w:t>35</w:t>
      </w:r>
      <w:r>
        <w:rPr>
          <w:rFonts w:ascii="Times New Roman" w:hAnsi="Times New Roman" w:eastAsia="仿宋_GB2312"/>
          <w:bCs/>
          <w:color w:val="000000"/>
          <w:sz w:val="32"/>
          <w:szCs w:val="32"/>
          <w:lang w:val="zh-CN"/>
        </w:rPr>
        <w:t>万人以上。</w:t>
      </w:r>
    </w:p>
    <w:p w14:paraId="01EF9120">
      <w:pPr>
        <w:ind w:firstLine="643" w:firstLineChars="200"/>
        <w:rPr>
          <w:rFonts w:ascii="Times New Roman" w:hAnsi="Times New Roman" w:eastAsia="仿宋_GB2312"/>
          <w:bCs/>
          <w:color w:val="000000"/>
          <w:sz w:val="32"/>
          <w:szCs w:val="32"/>
          <w:lang w:val="zh-CN"/>
        </w:rPr>
      </w:pPr>
      <w:r>
        <w:rPr>
          <w:rFonts w:ascii="Times New Roman" w:hAnsi="Times New Roman" w:eastAsia="仿宋_GB2312"/>
          <w:b/>
          <w:bCs/>
          <w:color w:val="000000"/>
          <w:sz w:val="32"/>
          <w:szCs w:val="32"/>
          <w:lang w:val="zh-CN"/>
        </w:rPr>
        <w:t>建设南部新城副中心。</w:t>
      </w:r>
      <w:r>
        <w:rPr>
          <w:rFonts w:hint="eastAsia" w:ascii="Times New Roman" w:hAnsi="Times New Roman" w:eastAsia="仿宋_GB2312"/>
          <w:bCs/>
          <w:color w:val="000000"/>
          <w:sz w:val="32"/>
          <w:szCs w:val="32"/>
          <w:lang w:val="zh-CN"/>
        </w:rPr>
        <w:t>推动</w:t>
      </w:r>
      <w:r>
        <w:rPr>
          <w:rFonts w:ascii="Times New Roman" w:hAnsi="Times New Roman" w:eastAsia="仿宋_GB2312"/>
          <w:bCs/>
          <w:color w:val="000000"/>
          <w:sz w:val="32"/>
          <w:szCs w:val="32"/>
          <w:lang w:val="zh-CN"/>
        </w:rPr>
        <w:t>双港镇、新渡镇和双新</w:t>
      </w:r>
      <w:r>
        <w:rPr>
          <w:rFonts w:hint="eastAsia" w:ascii="Times New Roman" w:hAnsi="Times New Roman" w:eastAsia="仿宋_GB2312"/>
          <w:bCs/>
          <w:color w:val="000000"/>
          <w:sz w:val="32"/>
          <w:szCs w:val="32"/>
          <w:lang w:val="zh-CN"/>
        </w:rPr>
        <w:t>产业园一体化发展</w:t>
      </w:r>
      <w:r>
        <w:rPr>
          <w:rFonts w:ascii="Times New Roman" w:hAnsi="Times New Roman" w:eastAsia="仿宋_GB2312"/>
          <w:bCs/>
          <w:color w:val="000000"/>
          <w:sz w:val="32"/>
          <w:szCs w:val="32"/>
          <w:lang w:val="zh-CN"/>
        </w:rPr>
        <w:t>，以II型小城市标准建设南部新城。统筹国土空间管控，推动两镇一区相向拓展，整体提升新城城市品质。协调产业发展布局，推进区内包装印刷产业集聚发展、良性互动。强化双新</w:t>
      </w:r>
      <w:r>
        <w:rPr>
          <w:rFonts w:hint="eastAsia" w:ascii="Times New Roman" w:hAnsi="Times New Roman" w:eastAsia="仿宋_GB2312"/>
          <w:bCs/>
          <w:color w:val="000000"/>
          <w:sz w:val="32"/>
          <w:szCs w:val="32"/>
          <w:lang w:val="zh-CN"/>
        </w:rPr>
        <w:t>产业园</w:t>
      </w:r>
      <w:r>
        <w:rPr>
          <w:rFonts w:ascii="Times New Roman" w:hAnsi="Times New Roman" w:eastAsia="仿宋_GB2312"/>
          <w:bCs/>
          <w:color w:val="000000"/>
          <w:sz w:val="32"/>
          <w:szCs w:val="32"/>
          <w:lang w:val="zh-CN"/>
        </w:rPr>
        <w:t>技术研发、产业服务、先进制造、总部基地等功能，优化双港、新渡两镇公共服务和产业配套建设。积极整合行政管理资源，加快构建利益共享长效机制。到2025年，南部新城集聚人口15万人以上，形成协调机制完善、产业特色鲜明、空间集约高效、绿色生态宜居的城市副中心。</w:t>
      </w:r>
    </w:p>
    <w:p w14:paraId="5A9E4EF3">
      <w:pPr>
        <w:ind w:firstLine="643" w:firstLineChars="200"/>
        <w:rPr>
          <w:rFonts w:ascii="Times New Roman" w:hAnsi="Times New Roman" w:eastAsia="仿宋_GB2312"/>
          <w:bCs/>
          <w:color w:val="000000"/>
          <w:sz w:val="32"/>
          <w:szCs w:val="32"/>
          <w:lang w:val="zh-CN"/>
        </w:rPr>
      </w:pPr>
      <w:r>
        <w:rPr>
          <w:rFonts w:hint="eastAsia" w:ascii="Times New Roman" w:hAnsi="Times New Roman" w:eastAsia="仿宋_GB2312"/>
          <w:b/>
          <w:bCs/>
          <w:color w:val="000000"/>
          <w:sz w:val="32"/>
          <w:szCs w:val="32"/>
          <w:lang w:val="zh-CN"/>
        </w:rPr>
        <w:t>强化“G206-无岳高速”发展轴。</w:t>
      </w:r>
      <w:r>
        <w:rPr>
          <w:rFonts w:hint="eastAsia" w:ascii="Times New Roman" w:hAnsi="Times New Roman" w:eastAsia="仿宋_GB2312"/>
          <w:bCs/>
          <w:color w:val="000000"/>
          <w:sz w:val="32"/>
          <w:szCs w:val="32"/>
          <w:lang w:val="zh-CN"/>
        </w:rPr>
        <w:t>依托交通通道优势和发展基础，强化“G206-无岳高速”主轴带动作用。对内串联</w:t>
      </w:r>
      <w:r>
        <w:rPr>
          <w:rFonts w:hint="eastAsia" w:ascii="Times New Roman" w:hAnsi="Times New Roman" w:eastAsia="仿宋_GB2312"/>
          <w:bCs/>
          <w:sz w:val="32"/>
          <w:szCs w:val="32"/>
          <w:lang w:val="zh-CN"/>
        </w:rPr>
        <w:t>双核和重点镇，推动现代制造业围绕主轴集聚发展</w:t>
      </w:r>
      <w:r>
        <w:rPr>
          <w:rFonts w:hint="eastAsia" w:ascii="Times New Roman" w:hAnsi="Times New Roman" w:eastAsia="仿宋_GB2312"/>
          <w:bCs/>
          <w:color w:val="000000"/>
          <w:sz w:val="32"/>
          <w:szCs w:val="32"/>
          <w:lang w:val="zh-CN"/>
        </w:rPr>
        <w:t>。对外联接合肥、安庆市区，积极打造融入合肥都市圈、接力安庆主城区的联动发展带。</w:t>
      </w:r>
    </w:p>
    <w:p w14:paraId="1A5C02D0">
      <w:pPr>
        <w:ind w:firstLine="643" w:firstLineChars="200"/>
        <w:rPr>
          <w:rFonts w:ascii="Times New Roman" w:hAnsi="Times New Roman" w:eastAsia="仿宋_GB2312"/>
          <w:bCs/>
          <w:color w:val="000000"/>
          <w:sz w:val="32"/>
          <w:szCs w:val="32"/>
          <w:lang w:val="zh-CN"/>
        </w:rPr>
      </w:pPr>
      <w:r>
        <w:rPr>
          <w:rFonts w:hint="eastAsia" w:ascii="Times New Roman" w:hAnsi="Times New Roman" w:eastAsia="仿宋_GB2312"/>
          <w:b/>
          <w:bCs/>
          <w:color w:val="000000"/>
          <w:sz w:val="32"/>
          <w:szCs w:val="32"/>
          <w:lang w:val="zh-CN"/>
        </w:rPr>
        <w:t>培育“江淮运河”发展轴。</w:t>
      </w:r>
      <w:r>
        <w:rPr>
          <w:rFonts w:hint="eastAsia" w:ascii="Times New Roman" w:hAnsi="Times New Roman" w:eastAsia="仿宋_GB2312"/>
          <w:bCs/>
          <w:color w:val="000000"/>
          <w:sz w:val="32"/>
          <w:szCs w:val="32"/>
          <w:lang w:val="zh-CN"/>
        </w:rPr>
        <w:t>依托江淮运河航道和生态旅游资源优势，打造市域东部重要的绿色发展轴带。积极谋划建设江淮运河生态旅游带、航运物流中心、鲟鱼渠首特色小镇建设，推动现代物流、生态旅游、文化休闲、现代农业融合发展。加强与运河沿线有关城市产业协作，参与江淮运河生态旅游廊道建设。</w:t>
      </w:r>
    </w:p>
    <w:p w14:paraId="20DB13D1">
      <w:pPr>
        <w:ind w:firstLine="643" w:firstLineChars="200"/>
        <w:rPr>
          <w:rFonts w:ascii="Times New Roman" w:hAnsi="Times New Roman" w:eastAsia="仿宋_GB2312"/>
          <w:bCs/>
          <w:color w:val="000000"/>
          <w:sz w:val="32"/>
          <w:szCs w:val="32"/>
          <w:lang w:val="zh-CN"/>
        </w:rPr>
      </w:pPr>
      <w:r>
        <w:rPr>
          <w:rFonts w:ascii="Times New Roman" w:hAnsi="Times New Roman" w:eastAsia="仿宋_GB2312"/>
          <w:b/>
          <w:bCs/>
          <w:color w:val="000000"/>
          <w:sz w:val="32"/>
          <w:szCs w:val="32"/>
          <w:lang w:val="zh-CN"/>
        </w:rPr>
        <w:t>积极推进乡镇特色发展。</w:t>
      </w:r>
      <w:r>
        <w:rPr>
          <w:rFonts w:ascii="Times New Roman" w:hAnsi="Times New Roman" w:eastAsia="仿宋_GB2312"/>
          <w:bCs/>
          <w:color w:val="000000"/>
          <w:sz w:val="32"/>
          <w:szCs w:val="32"/>
          <w:lang w:val="zh-CN"/>
        </w:rPr>
        <w:t>依托乡镇资源禀赋和发展基础，推进各乡镇差异化、特色化、品质化发展，进一步提升乡镇综合承载能力，构建连接城乡的重要纽带。按照“企业集聚、产业集群、产品错位”发展理念，推动新渡塑料产业集群镇、金神输送机产业集群镇、吕亭羽绒家纺产业集群镇、范岗装饰辅料产业集群镇、大关制盖产业集群镇、青草卫生防护用品产业集群镇等</w:t>
      </w:r>
      <w:r>
        <w:rPr>
          <w:rFonts w:hint="eastAsia" w:ascii="Times New Roman" w:hAnsi="Times New Roman" w:eastAsia="仿宋_GB2312"/>
          <w:bCs/>
          <w:color w:val="000000"/>
          <w:sz w:val="32"/>
          <w:szCs w:val="32"/>
          <w:lang w:val="en-US" w:eastAsia="zh-CN"/>
        </w:rPr>
        <w:t>7</w:t>
      </w:r>
      <w:r>
        <w:rPr>
          <w:rFonts w:ascii="Times New Roman" w:hAnsi="Times New Roman" w:eastAsia="仿宋_GB2312"/>
          <w:bCs/>
          <w:color w:val="000000"/>
          <w:sz w:val="32"/>
          <w:szCs w:val="32"/>
          <w:lang w:val="zh-CN"/>
        </w:rPr>
        <w:t>大产业集群镇建设。准确把握发展定位，以培育发展主导产业为重点，促进产城人文融合，突出企业主体地位，有力有序有效推进双港软包装小镇等省级特色小镇高质量发展。摸排培育建设一批产业特色鲜明、生态环境优美、体制机制灵活、人文气息浓厚、宜业宜居宜游的特色小镇，鼓励范岗绿色装饰小镇、大关制盖小镇、孔城红豆杉康养小镇、嬉子湖乐嬉小镇、鲟鱼</w:t>
      </w:r>
      <w:r>
        <w:rPr>
          <w:rFonts w:hint="eastAsia" w:ascii="Times New Roman" w:hAnsi="Times New Roman" w:eastAsia="仿宋_GB2312"/>
          <w:bCs/>
          <w:color w:val="000000"/>
          <w:sz w:val="32"/>
          <w:szCs w:val="32"/>
          <w:lang w:val="zh-CN"/>
        </w:rPr>
        <w:t>渠首</w:t>
      </w:r>
      <w:r>
        <w:rPr>
          <w:rFonts w:ascii="Times New Roman" w:hAnsi="Times New Roman" w:eastAsia="仿宋_GB2312"/>
          <w:bCs/>
          <w:color w:val="000000"/>
          <w:sz w:val="32"/>
          <w:szCs w:val="32"/>
          <w:lang w:val="zh-CN"/>
        </w:rPr>
        <w:t>小镇、</w:t>
      </w:r>
      <w:r>
        <w:rPr>
          <w:rFonts w:hint="eastAsia" w:ascii="Times New Roman" w:hAnsi="Times New Roman" w:eastAsia="仿宋_GB2312"/>
          <w:bCs/>
          <w:color w:val="000000"/>
          <w:sz w:val="32"/>
          <w:szCs w:val="32"/>
          <w:lang w:val="zh-CN"/>
        </w:rPr>
        <w:t>青草健康卫材小镇、</w:t>
      </w:r>
      <w:r>
        <w:rPr>
          <w:rFonts w:ascii="Times New Roman" w:hAnsi="Times New Roman" w:eastAsia="仿宋_GB2312"/>
          <w:bCs/>
          <w:color w:val="000000"/>
          <w:sz w:val="32"/>
          <w:szCs w:val="32"/>
          <w:lang w:val="zh-CN"/>
        </w:rPr>
        <w:t>唐湾生态康养福地小镇、黄甲茶旅小镇等创建省市级特色小镇，形成梯队培育、滚动推进的创建格局。</w:t>
      </w:r>
    </w:p>
    <w:p w14:paraId="0330C40B">
      <w:pPr>
        <w:pStyle w:val="9"/>
        <w:ind w:firstLine="0" w:firstLineChars="0"/>
        <w:rPr>
          <w:lang w:val="zh-CN"/>
        </w:rPr>
      </w:pPr>
    </w:p>
    <w:tbl>
      <w:tblPr>
        <w:tblStyle w:val="19"/>
        <w:tblW w:w="0" w:type="auto"/>
        <w:tblInd w:w="0"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autofit"/>
        <w:tblCellMar>
          <w:top w:w="0" w:type="dxa"/>
          <w:left w:w="108" w:type="dxa"/>
          <w:bottom w:w="0" w:type="dxa"/>
          <w:right w:w="108" w:type="dxa"/>
        </w:tblCellMar>
      </w:tblPr>
      <w:tblGrid>
        <w:gridCol w:w="8296"/>
      </w:tblGrid>
      <w:tr w14:paraId="7BDA5AAA">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8296" w:type="dxa"/>
            <w:tcBorders>
              <w:top w:val="single" w:color="auto" w:sz="4" w:space="0"/>
            </w:tcBorders>
            <w:shd w:val="clear" w:color="auto" w:fill="auto"/>
          </w:tcPr>
          <w:p w14:paraId="49211F34">
            <w:pPr>
              <w:tabs>
                <w:tab w:val="left" w:pos="540"/>
              </w:tabs>
              <w:snapToGrid w:val="0"/>
              <w:spacing w:line="360" w:lineRule="auto"/>
              <w:jc w:val="center"/>
              <w:rPr>
                <w:rFonts w:ascii="楷体" w:hAnsi="楷体" w:eastAsia="楷体" w:cs="仿宋_GB2312"/>
                <w:b/>
                <w:sz w:val="30"/>
                <w:szCs w:val="30"/>
                <w:lang w:val="zh-CN"/>
              </w:rPr>
            </w:pPr>
            <w:r>
              <w:rPr>
                <w:rFonts w:ascii="楷体" w:hAnsi="楷体" w:eastAsia="楷体" w:cs="仿宋_GB2312"/>
                <w:b/>
                <w:sz w:val="30"/>
                <w:szCs w:val="30"/>
                <w:lang w:val="zh-CN"/>
              </w:rPr>
              <w:t>专栏</w:t>
            </w:r>
            <w:r>
              <w:rPr>
                <w:rFonts w:hint="eastAsia" w:ascii="楷体" w:hAnsi="楷体" w:eastAsia="楷体" w:cs="仿宋_GB2312"/>
                <w:b/>
                <w:sz w:val="30"/>
                <w:szCs w:val="30"/>
                <w:lang w:val="zh-CN"/>
              </w:rPr>
              <w:t>1</w:t>
            </w:r>
            <w:r>
              <w:rPr>
                <w:rFonts w:hint="eastAsia" w:ascii="楷体" w:hAnsi="楷体" w:eastAsia="楷体" w:cs="仿宋_GB2312"/>
                <w:b/>
                <w:sz w:val="30"/>
                <w:szCs w:val="30"/>
                <w:lang w:val="en-US" w:eastAsia="zh-CN"/>
              </w:rPr>
              <w:t>2</w:t>
            </w:r>
            <w:r>
              <w:rPr>
                <w:rFonts w:ascii="楷体" w:hAnsi="楷体" w:eastAsia="楷体" w:cs="仿宋_GB2312"/>
                <w:b/>
                <w:sz w:val="30"/>
                <w:szCs w:val="30"/>
                <w:lang w:val="zh-CN"/>
              </w:rPr>
              <w:t>：各镇（街道）发展指引</w:t>
            </w:r>
          </w:p>
          <w:p w14:paraId="0B4295A1">
            <w:pPr>
              <w:spacing w:line="400" w:lineRule="exact"/>
              <w:ind w:firstLine="562" w:firstLineChars="200"/>
              <w:rPr>
                <w:rFonts w:ascii="仿宋_GB2312" w:eastAsia="仿宋_GB2312"/>
                <w:sz w:val="28"/>
                <w:szCs w:val="28"/>
              </w:rPr>
            </w:pPr>
            <w:r>
              <w:rPr>
                <w:rFonts w:hint="eastAsia" w:ascii="仿宋_GB2312" w:eastAsia="仿宋_GB2312"/>
                <w:b/>
                <w:sz w:val="28"/>
                <w:szCs w:val="28"/>
              </w:rPr>
              <w:t>文昌街道。</w:t>
            </w:r>
            <w:r>
              <w:rPr>
                <w:rFonts w:hint="eastAsia" w:ascii="仿宋_GB2312" w:eastAsia="仿宋_GB2312"/>
                <w:sz w:val="28"/>
                <w:szCs w:val="28"/>
              </w:rPr>
              <w:t>重点发展商贸、物流、养老服务、电子商务、特色旅游等现代服务业，建设桐城文学小镇，带动全市文化旅游发展；发展印刷包装、机械制造、化工油墨、纺织服装、建筑建材等产业，加快新材料、新能源等新兴产业培育。</w:t>
            </w:r>
          </w:p>
          <w:p w14:paraId="3E6AE0DB">
            <w:pPr>
              <w:spacing w:line="400" w:lineRule="exact"/>
              <w:ind w:firstLine="562" w:firstLineChars="200"/>
              <w:rPr>
                <w:rFonts w:ascii="仿宋_GB2312" w:eastAsia="仿宋_GB2312"/>
                <w:sz w:val="28"/>
                <w:szCs w:val="28"/>
              </w:rPr>
            </w:pPr>
            <w:r>
              <w:rPr>
                <w:rFonts w:hint="eastAsia" w:ascii="仿宋_GB2312" w:eastAsia="仿宋_GB2312"/>
                <w:b/>
                <w:sz w:val="28"/>
                <w:szCs w:val="28"/>
              </w:rPr>
              <w:t>龙眠街道（城区部分）。</w:t>
            </w:r>
            <w:r>
              <w:rPr>
                <w:rFonts w:hint="eastAsia" w:ascii="仿宋_GB2312" w:eastAsia="仿宋_GB2312"/>
                <w:sz w:val="28"/>
                <w:szCs w:val="28"/>
              </w:rPr>
              <w:t>重点发展商贸、物流、养老服务、电子商务、特色旅游等现代服务业，培育先进制造、节能环保等新兴产业，改造提升输送机械、包装印刷产业，做精做专家纺服装、绿色食品等产业。</w:t>
            </w:r>
          </w:p>
          <w:p w14:paraId="76512F45">
            <w:pPr>
              <w:spacing w:line="400" w:lineRule="exact"/>
              <w:ind w:firstLine="562" w:firstLineChars="200"/>
              <w:rPr>
                <w:rFonts w:ascii="仿宋_GB2312" w:eastAsia="仿宋_GB2312"/>
                <w:sz w:val="28"/>
                <w:szCs w:val="28"/>
              </w:rPr>
            </w:pPr>
            <w:r>
              <w:rPr>
                <w:rFonts w:hint="eastAsia" w:ascii="仿宋_GB2312" w:eastAsia="仿宋_GB2312"/>
                <w:b/>
                <w:sz w:val="28"/>
                <w:szCs w:val="28"/>
              </w:rPr>
              <w:t>龙腾街道。</w:t>
            </w:r>
            <w:r>
              <w:rPr>
                <w:rFonts w:hint="eastAsia" w:ascii="仿宋_GB2312" w:eastAsia="仿宋_GB2312"/>
                <w:sz w:val="28"/>
                <w:szCs w:val="28"/>
              </w:rPr>
              <w:t>依托国家级经开区和东部新区，升级改造包装印刷、输送机械、汽车零配件、家纺服装等传统优势产业，培育发展新材料、节能环保、高端装备制造、医工医药、新一代信息技术等战新产业。</w:t>
            </w:r>
          </w:p>
          <w:p w14:paraId="0CB34BCE">
            <w:pPr>
              <w:spacing w:line="400" w:lineRule="exact"/>
              <w:ind w:firstLine="562" w:firstLineChars="200"/>
              <w:rPr>
                <w:rFonts w:ascii="仿宋_GB2312" w:eastAsia="仿宋_GB2312"/>
                <w:sz w:val="28"/>
                <w:szCs w:val="28"/>
              </w:rPr>
            </w:pPr>
            <w:r>
              <w:rPr>
                <w:rFonts w:hint="eastAsia" w:ascii="仿宋_GB2312" w:eastAsia="仿宋_GB2312"/>
                <w:b/>
                <w:sz w:val="28"/>
                <w:szCs w:val="28"/>
              </w:rPr>
              <w:t>新渡镇。</w:t>
            </w:r>
            <w:r>
              <w:rPr>
                <w:rFonts w:hint="eastAsia" w:ascii="仿宋_GB2312" w:eastAsia="仿宋_GB2312"/>
                <w:sz w:val="28"/>
                <w:szCs w:val="28"/>
              </w:rPr>
              <w:t>重点发展塑料特色产业，打造</w:t>
            </w:r>
            <w:r>
              <w:rPr>
                <w:rFonts w:hint="eastAsia" w:ascii="仿宋_GB2312" w:eastAsia="仿宋_GB2312"/>
                <w:sz w:val="28"/>
                <w:szCs w:val="28"/>
                <w:lang w:eastAsia="zh-CN"/>
              </w:rPr>
              <w:t>“</w:t>
            </w:r>
            <w:r>
              <w:rPr>
                <w:rFonts w:hint="eastAsia" w:ascii="仿宋_GB2312" w:eastAsia="仿宋_GB2312"/>
                <w:sz w:val="28"/>
                <w:szCs w:val="28"/>
                <w:lang w:val="en-US" w:eastAsia="zh-CN"/>
              </w:rPr>
              <w:t>明星镇”</w:t>
            </w:r>
            <w:r>
              <w:rPr>
                <w:rFonts w:hint="eastAsia" w:ascii="仿宋_GB2312" w:eastAsia="仿宋_GB2312"/>
                <w:sz w:val="28"/>
                <w:szCs w:val="28"/>
              </w:rPr>
              <w:t>；</w:t>
            </w:r>
          </w:p>
          <w:p w14:paraId="5F6285A8">
            <w:pPr>
              <w:spacing w:line="400" w:lineRule="exact"/>
              <w:ind w:firstLine="562" w:firstLineChars="200"/>
              <w:rPr>
                <w:rFonts w:ascii="仿宋_GB2312" w:eastAsia="仿宋_GB2312"/>
                <w:sz w:val="28"/>
                <w:szCs w:val="28"/>
              </w:rPr>
            </w:pPr>
            <w:r>
              <w:rPr>
                <w:rFonts w:hint="eastAsia" w:ascii="仿宋_GB2312" w:eastAsia="仿宋_GB2312"/>
                <w:b/>
                <w:sz w:val="28"/>
                <w:szCs w:val="28"/>
              </w:rPr>
              <w:t>双港镇。</w:t>
            </w:r>
            <w:r>
              <w:rPr>
                <w:rFonts w:hint="eastAsia" w:ascii="仿宋_GB2312" w:eastAsia="仿宋_GB2312"/>
                <w:sz w:val="28"/>
                <w:szCs w:val="28"/>
              </w:rPr>
              <w:t>重点发展软包装特色产业，打造双港软包装小镇；发展文化旅游、生态旅游产业、都市休闲农业等。</w:t>
            </w:r>
          </w:p>
          <w:p w14:paraId="69B522F4">
            <w:pPr>
              <w:spacing w:line="400" w:lineRule="exact"/>
              <w:ind w:firstLine="562" w:firstLineChars="200"/>
              <w:rPr>
                <w:rFonts w:ascii="仿宋_GB2312" w:eastAsia="仿宋_GB2312"/>
                <w:sz w:val="28"/>
                <w:szCs w:val="28"/>
              </w:rPr>
            </w:pPr>
            <w:r>
              <w:rPr>
                <w:rFonts w:hint="eastAsia" w:ascii="仿宋_GB2312" w:eastAsia="仿宋_GB2312"/>
                <w:b/>
                <w:sz w:val="28"/>
                <w:szCs w:val="28"/>
              </w:rPr>
              <w:t>范岗镇。</w:t>
            </w:r>
            <w:r>
              <w:rPr>
                <w:rFonts w:hint="eastAsia" w:ascii="仿宋_GB2312" w:eastAsia="仿宋_GB2312"/>
                <w:sz w:val="28"/>
                <w:szCs w:val="28"/>
              </w:rPr>
              <w:t>重点发展烟机、汽车、火车、矿机等四大机械配件产业，以及包装印刷、服装加工、物流运输、家居文化等，壮大以刷业为统领的全国装饰辅料产业集群，建设范岗绿色装饰小镇。</w:t>
            </w:r>
          </w:p>
          <w:p w14:paraId="7E198D7F">
            <w:pPr>
              <w:spacing w:line="400" w:lineRule="exact"/>
              <w:ind w:firstLine="562" w:firstLineChars="200"/>
              <w:rPr>
                <w:rFonts w:ascii="仿宋_GB2312" w:eastAsia="仿宋_GB2312"/>
                <w:sz w:val="28"/>
                <w:szCs w:val="28"/>
              </w:rPr>
            </w:pPr>
            <w:r>
              <w:rPr>
                <w:rFonts w:hint="eastAsia" w:ascii="仿宋_GB2312" w:eastAsia="仿宋_GB2312"/>
                <w:b/>
                <w:sz w:val="28"/>
                <w:szCs w:val="28"/>
              </w:rPr>
              <w:t>金神镇。</w:t>
            </w:r>
            <w:r>
              <w:rPr>
                <w:rFonts w:hint="eastAsia" w:ascii="仿宋_GB2312" w:eastAsia="仿宋_GB2312"/>
                <w:sz w:val="28"/>
                <w:szCs w:val="28"/>
              </w:rPr>
              <w:t>重点发展输送机制造、汽车配件、新材料、塑料包装四大优势主导产业，培育产值过百亿元的机械制造产业集群。</w:t>
            </w:r>
          </w:p>
          <w:p w14:paraId="179964C6">
            <w:pPr>
              <w:spacing w:line="400" w:lineRule="exact"/>
              <w:ind w:firstLine="562" w:firstLineChars="200"/>
              <w:rPr>
                <w:rFonts w:ascii="仿宋_GB2312" w:eastAsia="仿宋_GB2312"/>
                <w:sz w:val="28"/>
                <w:szCs w:val="28"/>
              </w:rPr>
            </w:pPr>
            <w:r>
              <w:rPr>
                <w:rFonts w:hint="eastAsia" w:ascii="仿宋_GB2312" w:eastAsia="仿宋_GB2312"/>
                <w:b/>
                <w:sz w:val="28"/>
                <w:szCs w:val="28"/>
              </w:rPr>
              <w:t>孔城镇</w:t>
            </w:r>
            <w:r>
              <w:rPr>
                <w:rFonts w:hint="eastAsia" w:ascii="仿宋_GB2312" w:eastAsia="仿宋_GB2312"/>
                <w:sz w:val="28"/>
                <w:szCs w:val="28"/>
              </w:rPr>
              <w:t>。围绕孔城老街和江淮运河发展文化旅游、生态旅游，建设红豆杉基地、三生园等。培育发展机电配件、羽绒家纺等产业，积极发展优质粮油、稻虾稻鸭共养、苗木花卉等。</w:t>
            </w:r>
          </w:p>
          <w:p w14:paraId="31A0D430">
            <w:pPr>
              <w:spacing w:line="400" w:lineRule="exact"/>
              <w:ind w:firstLine="562" w:firstLineChars="200"/>
              <w:rPr>
                <w:rFonts w:ascii="仿宋_GB2312" w:eastAsia="仿宋_GB2312"/>
                <w:sz w:val="28"/>
                <w:szCs w:val="28"/>
              </w:rPr>
            </w:pPr>
            <w:r>
              <w:rPr>
                <w:rFonts w:hint="eastAsia" w:ascii="仿宋_GB2312" w:eastAsia="仿宋_GB2312"/>
                <w:b/>
                <w:sz w:val="28"/>
                <w:szCs w:val="28"/>
              </w:rPr>
              <w:t>大关镇。</w:t>
            </w:r>
            <w:r>
              <w:rPr>
                <w:rFonts w:hint="eastAsia" w:ascii="仿宋_GB2312" w:eastAsia="仿宋_GB2312"/>
                <w:sz w:val="28"/>
                <w:szCs w:val="28"/>
              </w:rPr>
              <w:t>重点发展制盖包装特色支柱产业，打响全国“制盖之乡”招牌；发展蛋鸭养殖加工特色产业。积极发展优质粮油、苗木花卉等。</w:t>
            </w:r>
          </w:p>
          <w:p w14:paraId="0991F6E0">
            <w:pPr>
              <w:spacing w:line="400" w:lineRule="exact"/>
              <w:ind w:firstLine="562" w:firstLineChars="200"/>
              <w:rPr>
                <w:rFonts w:hint="default" w:ascii="仿宋_GB2312" w:eastAsia="仿宋_GB2312"/>
                <w:sz w:val="28"/>
                <w:szCs w:val="28"/>
                <w:lang w:val="en-US" w:eastAsia="zh-CN"/>
              </w:rPr>
            </w:pPr>
            <w:r>
              <w:rPr>
                <w:rFonts w:hint="eastAsia" w:ascii="仿宋_GB2312" w:eastAsia="仿宋_GB2312"/>
                <w:b/>
                <w:sz w:val="28"/>
                <w:szCs w:val="28"/>
              </w:rPr>
              <w:t>吕亭镇。</w:t>
            </w:r>
            <w:r>
              <w:rPr>
                <w:rFonts w:hint="eastAsia" w:ascii="仿宋_GB2312" w:eastAsia="仿宋_GB2312"/>
                <w:sz w:val="28"/>
                <w:szCs w:val="28"/>
              </w:rPr>
              <w:t>依托德上高速出口建设物流园及新型工业集中区，打造国内有影响力的羽绒家纺产业基地。加快发展现代农业，畜禽养殖，农产品加工等。依托鲁谼山水库建设，发展生态旅游和茶叶种植业。</w:t>
            </w:r>
            <w:r>
              <w:rPr>
                <w:rFonts w:hint="eastAsia" w:ascii="仿宋_GB2312" w:eastAsia="仿宋_GB2312"/>
                <w:sz w:val="28"/>
                <w:szCs w:val="28"/>
                <w:lang w:val="en-US" w:eastAsia="zh-CN"/>
              </w:rPr>
              <w:t>着力打造红色教育军事基地+绿色产业生态旅游为一体的迷彩小镇。</w:t>
            </w:r>
          </w:p>
          <w:p w14:paraId="2251842B">
            <w:pPr>
              <w:spacing w:line="400" w:lineRule="exact"/>
              <w:ind w:firstLine="562" w:firstLineChars="200"/>
              <w:rPr>
                <w:rFonts w:ascii="仿宋_GB2312" w:eastAsia="仿宋_GB2312"/>
                <w:sz w:val="28"/>
                <w:szCs w:val="28"/>
              </w:rPr>
            </w:pPr>
            <w:r>
              <w:rPr>
                <w:rFonts w:hint="eastAsia" w:ascii="仿宋_GB2312" w:eastAsia="仿宋_GB2312"/>
                <w:b/>
                <w:sz w:val="28"/>
                <w:szCs w:val="28"/>
              </w:rPr>
              <w:t>青草镇。</w:t>
            </w:r>
            <w:r>
              <w:rPr>
                <w:rFonts w:hint="eastAsia" w:ascii="仿宋_GB2312" w:eastAsia="仿宋_GB2312"/>
                <w:sz w:val="28"/>
                <w:szCs w:val="28"/>
              </w:rPr>
              <w:t>重点发展防护用品、制刷等，建设安全健康防护用品产业园，打造全国卫生防护用品基地；加快发展富锌农业和优质粮油等产业。</w:t>
            </w:r>
          </w:p>
          <w:p w14:paraId="08E7835E">
            <w:pPr>
              <w:spacing w:line="400" w:lineRule="exact"/>
              <w:ind w:firstLine="562" w:firstLineChars="200"/>
              <w:rPr>
                <w:rFonts w:ascii="仿宋_GB2312" w:eastAsia="仿宋_GB2312"/>
                <w:sz w:val="28"/>
                <w:szCs w:val="28"/>
              </w:rPr>
            </w:pPr>
            <w:r>
              <w:rPr>
                <w:rFonts w:hint="eastAsia" w:ascii="仿宋_GB2312" w:eastAsia="仿宋_GB2312"/>
                <w:b/>
                <w:sz w:val="28"/>
                <w:szCs w:val="28"/>
              </w:rPr>
              <w:t>唐湾镇。</w:t>
            </w:r>
            <w:r>
              <w:rPr>
                <w:rFonts w:hint="eastAsia" w:ascii="仿宋_GB2312" w:eastAsia="仿宋_GB2312"/>
                <w:sz w:val="28"/>
                <w:szCs w:val="28"/>
              </w:rPr>
              <w:t>依托抽水蓄能电站、桐怀潜“一大”会址等红色旅游资源，重点发展旅游业，壮大茶叶、粉丝、有机大米等特色产业。</w:t>
            </w:r>
          </w:p>
          <w:p w14:paraId="310FAAF0">
            <w:pPr>
              <w:spacing w:line="400" w:lineRule="exact"/>
              <w:ind w:firstLine="562" w:firstLineChars="200"/>
              <w:rPr>
                <w:rFonts w:ascii="仿宋_GB2312" w:eastAsia="仿宋_GB2312"/>
                <w:sz w:val="28"/>
                <w:szCs w:val="28"/>
              </w:rPr>
            </w:pPr>
            <w:r>
              <w:rPr>
                <w:rFonts w:hint="eastAsia" w:ascii="仿宋_GB2312" w:eastAsia="仿宋_GB2312"/>
                <w:b/>
                <w:sz w:val="28"/>
                <w:szCs w:val="28"/>
              </w:rPr>
              <w:t>黄甲镇</w:t>
            </w:r>
            <w:r>
              <w:rPr>
                <w:rFonts w:hint="eastAsia" w:ascii="仿宋_GB2312" w:eastAsia="仿宋_GB2312"/>
                <w:sz w:val="28"/>
                <w:szCs w:val="28"/>
              </w:rPr>
              <w:t>。加强生态涵养，重点发展“桐城小花”、中药材、苗木花卉、高山蔬菜等特色种植业；茶叶加工、根雕工艺等加工业；依托牯牛背水库等山水资源发展生态旅游业。</w:t>
            </w:r>
          </w:p>
          <w:p w14:paraId="6B8D8316">
            <w:pPr>
              <w:spacing w:line="400" w:lineRule="exact"/>
              <w:ind w:firstLine="562" w:firstLineChars="200"/>
              <w:rPr>
                <w:rFonts w:hint="eastAsia" w:ascii="仿宋_GB2312" w:eastAsia="仿宋_GB2312"/>
                <w:sz w:val="28"/>
                <w:szCs w:val="28"/>
              </w:rPr>
            </w:pPr>
            <w:r>
              <w:rPr>
                <w:rFonts w:hint="eastAsia" w:ascii="仿宋_GB2312" w:eastAsia="仿宋_GB2312"/>
                <w:b/>
                <w:sz w:val="28"/>
                <w:szCs w:val="28"/>
              </w:rPr>
              <w:t>嬉子湖镇。</w:t>
            </w:r>
            <w:r>
              <w:rPr>
                <w:rFonts w:hint="eastAsia" w:ascii="仿宋_GB2312" w:eastAsia="仿宋_GB2312"/>
                <w:sz w:val="28"/>
                <w:szCs w:val="28"/>
              </w:rPr>
              <w:t>加强国家级嬉子湖湿地公园生态保护，重点发展生态旅游、现代农业、休闲体育、健康养老等。</w:t>
            </w:r>
          </w:p>
          <w:p w14:paraId="2363867C">
            <w:pPr>
              <w:spacing w:line="400" w:lineRule="exact"/>
              <w:ind w:firstLine="562" w:firstLineChars="200"/>
              <w:rPr>
                <w:rFonts w:ascii="Times New Roman" w:hAnsi="Times New Roman"/>
                <w:sz w:val="24"/>
              </w:rPr>
            </w:pPr>
            <w:r>
              <w:rPr>
                <w:rFonts w:hint="eastAsia" w:ascii="仿宋_GB2312" w:eastAsia="仿宋_GB2312"/>
                <w:b/>
                <w:sz w:val="28"/>
                <w:szCs w:val="28"/>
              </w:rPr>
              <w:t>鲟鱼镇。</w:t>
            </w:r>
            <w:r>
              <w:rPr>
                <w:rFonts w:hint="default" w:ascii="仿宋_GB2312" w:eastAsia="仿宋_GB2312"/>
                <w:sz w:val="28"/>
                <w:szCs w:val="28"/>
                <w:lang w:val="en-US" w:eastAsia="zh-CN"/>
              </w:rPr>
              <w:t>加强长江保护和环境治理，重点发展航运产业，以及餐饮、休闲、旅游等服务业，争取引江济淮龙头枢纽管理机构落户，建设渠首特色小镇。</w:t>
            </w:r>
          </w:p>
        </w:tc>
      </w:tr>
    </w:tbl>
    <w:p w14:paraId="3E2CD822">
      <w:pPr>
        <w:spacing w:before="100" w:beforeAutospacing="1" w:after="100" w:afterAutospacing="1"/>
        <w:jc w:val="center"/>
        <w:outlineLvl w:val="1"/>
        <w:rPr>
          <w:rFonts w:ascii="Times New Roman" w:hAnsi="Times New Roman" w:eastAsia="黑体"/>
          <w:sz w:val="32"/>
          <w:szCs w:val="32"/>
        </w:rPr>
      </w:pPr>
      <w:bookmarkStart w:id="71" w:name="_Toc14940"/>
      <w:r>
        <w:rPr>
          <w:rFonts w:ascii="Times New Roman" w:hAnsi="Times New Roman" w:eastAsia="黑体"/>
          <w:sz w:val="32"/>
          <w:szCs w:val="32"/>
        </w:rPr>
        <w:t>第</w:t>
      </w:r>
      <w:r>
        <w:rPr>
          <w:rFonts w:hint="eastAsia" w:ascii="Times New Roman" w:hAnsi="Times New Roman" w:eastAsia="黑体"/>
          <w:sz w:val="32"/>
          <w:szCs w:val="32"/>
        </w:rPr>
        <w:t>三</w:t>
      </w:r>
      <w:r>
        <w:rPr>
          <w:rFonts w:ascii="Times New Roman" w:hAnsi="Times New Roman" w:eastAsia="黑体"/>
          <w:sz w:val="32"/>
          <w:szCs w:val="32"/>
        </w:rPr>
        <w:t>节</w:t>
      </w:r>
      <w:r>
        <w:rPr>
          <w:rFonts w:hint="eastAsia" w:ascii="Times New Roman" w:hAnsi="Times New Roman" w:eastAsia="黑体"/>
          <w:sz w:val="32"/>
          <w:szCs w:val="32"/>
          <w:lang w:val="en-US" w:eastAsia="zh-CN"/>
        </w:rPr>
        <w:t xml:space="preserve"> </w:t>
      </w:r>
      <w:r>
        <w:rPr>
          <w:rFonts w:hint="eastAsia" w:ascii="Times New Roman" w:hAnsi="Times New Roman" w:eastAsia="黑体"/>
          <w:sz w:val="32"/>
          <w:szCs w:val="32"/>
        </w:rPr>
        <w:t>推进新型城镇化建设</w:t>
      </w:r>
      <w:bookmarkEnd w:id="71"/>
    </w:p>
    <w:p w14:paraId="2A061D15">
      <w:pPr>
        <w:ind w:firstLine="643" w:firstLineChars="200"/>
        <w:rPr>
          <w:rFonts w:ascii="Times New Roman" w:hAnsi="Times New Roman" w:eastAsia="仿宋_GB2312"/>
          <w:sz w:val="32"/>
          <w:szCs w:val="32"/>
        </w:rPr>
      </w:pPr>
      <w:r>
        <w:rPr>
          <w:rFonts w:ascii="Times New Roman" w:hAnsi="Times New Roman" w:eastAsia="仿宋_GB2312"/>
          <w:b/>
          <w:sz w:val="32"/>
          <w:szCs w:val="32"/>
        </w:rPr>
        <w:t>加快补短板强弱项。</w:t>
      </w:r>
      <w:r>
        <w:rPr>
          <w:rFonts w:ascii="Times New Roman" w:hAnsi="Times New Roman" w:eastAsia="仿宋_GB2312"/>
          <w:sz w:val="32"/>
          <w:szCs w:val="32"/>
        </w:rPr>
        <w:t>抓紧补</w:t>
      </w:r>
      <w:r>
        <w:rPr>
          <w:rFonts w:hint="eastAsia" w:ascii="Times New Roman" w:hAnsi="Times New Roman" w:eastAsia="仿宋_GB2312"/>
          <w:sz w:val="32"/>
          <w:szCs w:val="32"/>
        </w:rPr>
        <w:t>齐</w:t>
      </w:r>
      <w:r>
        <w:rPr>
          <w:rFonts w:ascii="Times New Roman" w:hAnsi="Times New Roman" w:eastAsia="仿宋_GB2312"/>
          <w:sz w:val="32"/>
          <w:szCs w:val="32"/>
        </w:rPr>
        <w:t>疫情暴露出的新型城镇化短板弱项，</w:t>
      </w:r>
      <w:r>
        <w:rPr>
          <w:rFonts w:hint="eastAsia" w:ascii="Times New Roman" w:hAnsi="Times New Roman" w:eastAsia="仿宋_GB2312"/>
          <w:sz w:val="32"/>
          <w:szCs w:val="32"/>
        </w:rPr>
        <w:t>大力实施生态修复和城乡公共服务设施补短板项目</w:t>
      </w:r>
      <w:r>
        <w:rPr>
          <w:rFonts w:hint="eastAsia" w:ascii="Times New Roman" w:hAnsi="Times New Roman" w:eastAsia="仿宋_GB2312"/>
          <w:sz w:val="32"/>
          <w:szCs w:val="32"/>
          <w:lang w:eastAsia="zh-CN"/>
        </w:rPr>
        <w:t>。</w:t>
      </w:r>
      <w:r>
        <w:rPr>
          <w:rFonts w:ascii="Times New Roman" w:hAnsi="Times New Roman" w:eastAsia="仿宋_GB2312"/>
          <w:sz w:val="32"/>
          <w:szCs w:val="32"/>
        </w:rPr>
        <w:t>围绕公共服务设施提标扩面，优化医疗卫生、教育养老、文旅体育、社会福利和社区综合</w:t>
      </w:r>
      <w:r>
        <w:rPr>
          <w:rFonts w:hint="eastAsia" w:ascii="Times New Roman" w:hAnsi="Times New Roman" w:eastAsia="仿宋_GB2312"/>
          <w:sz w:val="32"/>
          <w:szCs w:val="32"/>
          <w:lang w:val="en-US" w:eastAsia="zh-CN"/>
        </w:rPr>
        <w:t>等</w:t>
      </w:r>
      <w:r>
        <w:rPr>
          <w:rFonts w:ascii="Times New Roman" w:hAnsi="Times New Roman" w:eastAsia="仿宋_GB2312"/>
          <w:sz w:val="32"/>
          <w:szCs w:val="32"/>
        </w:rPr>
        <w:t>服务设施。围绕环境卫生设施提级扩能，完善垃圾无害化资源化处理、污水集中处理和</w:t>
      </w:r>
      <w:r>
        <w:rPr>
          <w:rFonts w:hint="eastAsia" w:ascii="Times New Roman" w:hAnsi="Times New Roman" w:eastAsia="仿宋_GB2312"/>
          <w:sz w:val="32"/>
          <w:szCs w:val="32"/>
          <w:lang w:val="en-US" w:eastAsia="zh-CN"/>
        </w:rPr>
        <w:t>城区公厕等设施</w:t>
      </w:r>
      <w:r>
        <w:rPr>
          <w:rFonts w:ascii="Times New Roman" w:hAnsi="Times New Roman" w:eastAsia="仿宋_GB2312"/>
          <w:sz w:val="32"/>
          <w:szCs w:val="32"/>
        </w:rPr>
        <w:t>。围绕市政公用设施提</w:t>
      </w:r>
      <w:r>
        <w:rPr>
          <w:rFonts w:hint="eastAsia" w:ascii="Times New Roman" w:hAnsi="Times New Roman" w:eastAsia="仿宋_GB2312"/>
          <w:sz w:val="32"/>
          <w:szCs w:val="32"/>
          <w:lang w:val="en-US" w:eastAsia="zh-CN"/>
        </w:rPr>
        <w:t>档</w:t>
      </w:r>
      <w:bookmarkStart w:id="129" w:name="_GoBack"/>
      <w:bookmarkEnd w:id="129"/>
      <w:r>
        <w:rPr>
          <w:rFonts w:ascii="Times New Roman" w:hAnsi="Times New Roman" w:eastAsia="仿宋_GB2312"/>
          <w:sz w:val="32"/>
          <w:szCs w:val="32"/>
        </w:rPr>
        <w:t>升级，推进市政交通、市政管网、配送投递、老旧小区更新改造和县城智慧化改造</w:t>
      </w:r>
      <w:r>
        <w:rPr>
          <w:rFonts w:hint="eastAsia" w:ascii="Times New Roman" w:hAnsi="Times New Roman" w:eastAsia="仿宋_GB2312"/>
          <w:sz w:val="32"/>
          <w:szCs w:val="32"/>
          <w:lang w:val="en-US" w:eastAsia="zh-CN"/>
        </w:rPr>
        <w:t>等公用设施建设</w:t>
      </w:r>
      <w:r>
        <w:rPr>
          <w:rFonts w:ascii="Times New Roman" w:hAnsi="Times New Roman" w:eastAsia="仿宋_GB2312"/>
          <w:sz w:val="32"/>
          <w:szCs w:val="32"/>
        </w:rPr>
        <w:t>。围绕产业培育设施提质增效，完善产业平台配套、冷链物流和农贸市场</w:t>
      </w:r>
      <w:r>
        <w:rPr>
          <w:rFonts w:hint="eastAsia" w:ascii="Times New Roman" w:hAnsi="Times New Roman" w:eastAsia="仿宋_GB2312"/>
          <w:sz w:val="32"/>
          <w:szCs w:val="32"/>
          <w:lang w:val="en-US" w:eastAsia="zh-CN"/>
        </w:rPr>
        <w:t>等设施建设</w:t>
      </w:r>
      <w:r>
        <w:rPr>
          <w:rFonts w:ascii="Times New Roman" w:hAnsi="Times New Roman" w:eastAsia="仿宋_GB2312"/>
          <w:sz w:val="32"/>
          <w:szCs w:val="32"/>
        </w:rPr>
        <w:t>。</w:t>
      </w:r>
      <w:r>
        <w:rPr>
          <w:rFonts w:hint="eastAsia" w:ascii="Times New Roman" w:hAnsi="Times New Roman" w:eastAsia="仿宋_GB2312"/>
          <w:sz w:val="32"/>
          <w:szCs w:val="32"/>
        </w:rPr>
        <w:t>实施槐溪塥等水系治理工程，全面完成城市雨污分流，建设海绵城市，增强城市防洪排涝能力。</w:t>
      </w:r>
    </w:p>
    <w:p w14:paraId="6FF0ADBB">
      <w:pPr>
        <w:ind w:firstLine="643" w:firstLineChars="200"/>
        <w:rPr>
          <w:rFonts w:ascii="Times New Roman" w:hAnsi="Times New Roman" w:eastAsia="仿宋_GB2312"/>
          <w:sz w:val="32"/>
          <w:szCs w:val="32"/>
        </w:rPr>
      </w:pPr>
      <w:r>
        <w:rPr>
          <w:rFonts w:ascii="Times New Roman" w:hAnsi="Times New Roman" w:eastAsia="仿宋_GB2312"/>
          <w:b/>
          <w:sz w:val="32"/>
          <w:szCs w:val="32"/>
        </w:rPr>
        <w:t>塑造历史文化名城风貌。</w:t>
      </w:r>
      <w:r>
        <w:rPr>
          <w:rFonts w:ascii="Times New Roman" w:hAnsi="Times New Roman" w:eastAsia="仿宋_GB2312"/>
          <w:sz w:val="32"/>
          <w:szCs w:val="32"/>
        </w:rPr>
        <w:t>强化历史文化保护</w:t>
      </w:r>
      <w:r>
        <w:rPr>
          <w:rFonts w:hint="eastAsia" w:ascii="Times New Roman" w:hAnsi="Times New Roman" w:eastAsia="仿宋_GB2312"/>
          <w:sz w:val="32"/>
          <w:szCs w:val="32"/>
        </w:rPr>
        <w:t>，</w:t>
      </w:r>
      <w:r>
        <w:rPr>
          <w:rFonts w:ascii="Times New Roman" w:hAnsi="Times New Roman" w:eastAsia="仿宋_GB2312"/>
          <w:sz w:val="32"/>
          <w:szCs w:val="32"/>
        </w:rPr>
        <w:t>塑造城市风貌</w:t>
      </w:r>
      <w:r>
        <w:rPr>
          <w:rFonts w:hint="eastAsia" w:ascii="Times New Roman" w:hAnsi="Times New Roman" w:eastAsia="仿宋_GB2312"/>
          <w:sz w:val="32"/>
          <w:szCs w:val="32"/>
        </w:rPr>
        <w:t>，</w:t>
      </w:r>
      <w:r>
        <w:rPr>
          <w:rFonts w:ascii="Times New Roman" w:hAnsi="Times New Roman" w:eastAsia="仿宋_GB2312"/>
          <w:sz w:val="32"/>
          <w:szCs w:val="32"/>
        </w:rPr>
        <w:t>对老城区内城市空间形态、高度体量、天际线、风貌特点、交通组织等控制引导。聚焦东大街、北大街、胜利街、南大街4条历史文化街区和操江巷、便宜门巷、双井街3个历史风貌区位重点，加</w:t>
      </w:r>
      <w:r>
        <w:rPr>
          <w:rFonts w:hint="eastAsia" w:ascii="Times New Roman" w:hAnsi="Times New Roman" w:eastAsia="仿宋_GB2312"/>
          <w:sz w:val="32"/>
          <w:szCs w:val="32"/>
        </w:rPr>
        <w:t>强</w:t>
      </w:r>
      <w:r>
        <w:rPr>
          <w:rFonts w:ascii="Times New Roman" w:hAnsi="Times New Roman" w:eastAsia="仿宋_GB2312"/>
          <w:sz w:val="32"/>
          <w:szCs w:val="32"/>
        </w:rPr>
        <w:t>城市传统格局和历史风貌保护延续。加快实施城址轮廓、传统街巷、历史建筑、历史河流、古树名木全面保护修复，恢复并部分局部重现桐城“七拐、八角、九弄、十三巷” 街巷格局。积极</w:t>
      </w:r>
      <w:r>
        <w:rPr>
          <w:rFonts w:hint="eastAsia" w:ascii="Times New Roman" w:hAnsi="Times New Roman" w:eastAsia="仿宋_GB2312"/>
          <w:sz w:val="32"/>
          <w:szCs w:val="32"/>
        </w:rPr>
        <w:t>申报</w:t>
      </w:r>
      <w:r>
        <w:rPr>
          <w:rFonts w:ascii="Times New Roman" w:hAnsi="Times New Roman" w:eastAsia="仿宋_GB2312"/>
          <w:sz w:val="32"/>
          <w:szCs w:val="32"/>
        </w:rPr>
        <w:t>全国历史文化名城。</w:t>
      </w:r>
    </w:p>
    <w:tbl>
      <w:tblPr>
        <w:tblStyle w:val="19"/>
        <w:tblW w:w="0" w:type="auto"/>
        <w:tblInd w:w="0"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autofit"/>
        <w:tblCellMar>
          <w:top w:w="0" w:type="dxa"/>
          <w:left w:w="108" w:type="dxa"/>
          <w:bottom w:w="0" w:type="dxa"/>
          <w:right w:w="108" w:type="dxa"/>
        </w:tblCellMar>
      </w:tblPr>
      <w:tblGrid>
        <w:gridCol w:w="8296"/>
      </w:tblGrid>
      <w:tr w14:paraId="50061C12">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8296" w:type="dxa"/>
            <w:tcBorders>
              <w:top w:val="single" w:color="auto" w:sz="4" w:space="0"/>
            </w:tcBorders>
            <w:shd w:val="clear" w:color="auto" w:fill="auto"/>
          </w:tcPr>
          <w:p w14:paraId="67638174">
            <w:pPr>
              <w:tabs>
                <w:tab w:val="left" w:pos="540"/>
              </w:tabs>
              <w:snapToGrid w:val="0"/>
              <w:spacing w:line="360" w:lineRule="auto"/>
              <w:jc w:val="center"/>
              <w:rPr>
                <w:rFonts w:ascii="楷体" w:hAnsi="楷体" w:eastAsia="楷体" w:cs="仿宋_GB2312"/>
                <w:b/>
                <w:sz w:val="30"/>
                <w:szCs w:val="30"/>
                <w:lang w:val="zh-CN"/>
              </w:rPr>
            </w:pPr>
            <w:r>
              <w:rPr>
                <w:rFonts w:ascii="楷体" w:hAnsi="楷体" w:eastAsia="楷体" w:cs="仿宋_GB2312"/>
                <w:b/>
                <w:sz w:val="30"/>
                <w:szCs w:val="30"/>
                <w:lang w:val="zh-CN"/>
              </w:rPr>
              <w:t>专栏</w:t>
            </w:r>
            <w:r>
              <w:rPr>
                <w:rFonts w:hint="eastAsia" w:ascii="楷体" w:hAnsi="楷体" w:eastAsia="楷体" w:cs="仿宋_GB2312"/>
                <w:b/>
                <w:sz w:val="30"/>
                <w:szCs w:val="30"/>
                <w:lang w:val="zh-CN"/>
              </w:rPr>
              <w:t>1</w:t>
            </w:r>
            <w:r>
              <w:rPr>
                <w:rFonts w:hint="eastAsia" w:ascii="楷体" w:hAnsi="楷体" w:eastAsia="楷体" w:cs="仿宋_GB2312"/>
                <w:b/>
                <w:sz w:val="30"/>
                <w:szCs w:val="30"/>
                <w:lang w:val="en-US" w:eastAsia="zh-CN"/>
              </w:rPr>
              <w:t>3</w:t>
            </w:r>
            <w:r>
              <w:rPr>
                <w:rFonts w:ascii="楷体" w:hAnsi="楷体" w:eastAsia="楷体" w:cs="仿宋_GB2312"/>
                <w:b/>
                <w:sz w:val="30"/>
                <w:szCs w:val="30"/>
                <w:lang w:val="zh-CN"/>
              </w:rPr>
              <w:t>：历史文化名城风貌保护修复重点</w:t>
            </w:r>
          </w:p>
          <w:p w14:paraId="5D9022A0">
            <w:pPr>
              <w:spacing w:line="400" w:lineRule="exact"/>
              <w:ind w:firstLine="562" w:firstLineChars="200"/>
              <w:rPr>
                <w:rFonts w:ascii="仿宋_GB2312" w:eastAsia="仿宋_GB2312"/>
                <w:sz w:val="28"/>
                <w:szCs w:val="28"/>
              </w:rPr>
            </w:pPr>
            <w:r>
              <w:rPr>
                <w:rFonts w:hint="eastAsia" w:ascii="仿宋_GB2312" w:eastAsia="仿宋_GB2312"/>
                <w:b/>
                <w:sz w:val="28"/>
                <w:szCs w:val="28"/>
              </w:rPr>
              <w:t>城址轮廓。</w:t>
            </w:r>
            <w:r>
              <w:rPr>
                <w:rFonts w:hint="eastAsia" w:ascii="仿宋_GB2312" w:eastAsia="仿宋_GB2312"/>
                <w:sz w:val="28"/>
                <w:szCs w:val="28"/>
              </w:rPr>
              <w:t>保护西门山山形和地貌；保护东作门、西成门、南薰门的位置及遗迹；考证和挖掘确定便宜门、北拱门、向阳门的位置；桐城古城墙恢复性建设。</w:t>
            </w:r>
          </w:p>
          <w:p w14:paraId="1E0A2CB9">
            <w:pPr>
              <w:spacing w:line="400" w:lineRule="exact"/>
              <w:ind w:firstLine="562" w:firstLineChars="200"/>
              <w:rPr>
                <w:rFonts w:hint="eastAsia" w:ascii="仿宋_GB2312" w:eastAsia="仿宋_GB2312"/>
                <w:sz w:val="28"/>
                <w:szCs w:val="28"/>
                <w:lang w:eastAsia="zh-CN"/>
              </w:rPr>
            </w:pPr>
            <w:r>
              <w:rPr>
                <w:rFonts w:hint="eastAsia" w:ascii="仿宋_GB2312" w:eastAsia="仿宋_GB2312"/>
                <w:b/>
                <w:sz w:val="28"/>
                <w:szCs w:val="28"/>
              </w:rPr>
              <w:t>历史街巷。</w:t>
            </w:r>
            <w:r>
              <w:rPr>
                <w:rFonts w:hint="eastAsia" w:ascii="仿宋_GB2312" w:eastAsia="仿宋_GB2312"/>
                <w:sz w:val="28"/>
                <w:szCs w:val="28"/>
              </w:rPr>
              <w:t>东大街、北大街、胜利街、南大街、操江巷、西后街、北后街、讲学园巷、五显巷、寺巷、庙后巷、便宜门巷、双井街、小花园巷、宗伯第巷、南昌路、正阳巷等</w:t>
            </w:r>
            <w:r>
              <w:rPr>
                <w:rFonts w:hint="eastAsia" w:ascii="仿宋_GB2312" w:eastAsia="仿宋_GB2312"/>
                <w:sz w:val="28"/>
                <w:szCs w:val="28"/>
                <w:lang w:val="en-US" w:eastAsia="zh-CN"/>
              </w:rPr>
              <w:t>保护与修复</w:t>
            </w:r>
            <w:r>
              <w:rPr>
                <w:rFonts w:hint="eastAsia" w:ascii="仿宋_GB2312" w:eastAsia="仿宋_GB2312"/>
                <w:sz w:val="28"/>
                <w:szCs w:val="28"/>
                <w:lang w:eastAsia="zh-CN"/>
              </w:rPr>
              <w:t>。</w:t>
            </w:r>
          </w:p>
          <w:p w14:paraId="7DCE659E">
            <w:pPr>
              <w:spacing w:line="400" w:lineRule="exact"/>
              <w:ind w:firstLine="562" w:firstLineChars="200"/>
              <w:rPr>
                <w:rFonts w:hint="eastAsia" w:ascii="仿宋_GB2312" w:eastAsia="仿宋_GB2312"/>
                <w:sz w:val="28"/>
                <w:szCs w:val="28"/>
                <w:lang w:val="en-US" w:eastAsia="zh-CN"/>
              </w:rPr>
            </w:pPr>
            <w:r>
              <w:rPr>
                <w:rFonts w:hint="eastAsia" w:ascii="仿宋_GB2312" w:eastAsia="仿宋_GB2312"/>
                <w:b/>
                <w:sz w:val="28"/>
                <w:szCs w:val="28"/>
              </w:rPr>
              <w:t>历史水系。</w:t>
            </w:r>
            <w:r>
              <w:rPr>
                <w:rFonts w:hint="eastAsia" w:ascii="仿宋_GB2312" w:eastAsia="仿宋_GB2312"/>
                <w:sz w:val="28"/>
                <w:szCs w:val="28"/>
                <w:lang w:val="en-US" w:eastAsia="zh-CN"/>
              </w:rPr>
              <w:t>完善</w:t>
            </w:r>
            <w:r>
              <w:rPr>
                <w:rFonts w:hint="eastAsia" w:ascii="仿宋_GB2312" w:eastAsia="仿宋_GB2312"/>
                <w:sz w:val="28"/>
                <w:szCs w:val="28"/>
              </w:rPr>
              <w:t>龙眠河、桐溪塥、槐溪塥等</w:t>
            </w:r>
            <w:r>
              <w:rPr>
                <w:rFonts w:hint="eastAsia" w:ascii="仿宋_GB2312" w:eastAsia="仿宋_GB2312"/>
                <w:sz w:val="28"/>
                <w:szCs w:val="28"/>
                <w:lang w:val="en-US" w:eastAsia="zh-CN"/>
              </w:rPr>
              <w:t>水系。</w:t>
            </w:r>
          </w:p>
          <w:p w14:paraId="585F5B66">
            <w:pPr>
              <w:spacing w:line="400" w:lineRule="exact"/>
              <w:ind w:firstLine="562" w:firstLineChars="200"/>
              <w:rPr>
                <w:rFonts w:ascii="仿宋_GB2312" w:eastAsia="仿宋_GB2312"/>
                <w:sz w:val="28"/>
                <w:szCs w:val="28"/>
              </w:rPr>
            </w:pPr>
            <w:r>
              <w:rPr>
                <w:rFonts w:hint="eastAsia" w:ascii="仿宋_GB2312" w:eastAsia="仿宋_GB2312"/>
                <w:b/>
                <w:sz w:val="28"/>
                <w:szCs w:val="28"/>
              </w:rPr>
              <w:t>古树名木。</w:t>
            </w:r>
            <w:r>
              <w:rPr>
                <w:rFonts w:hint="eastAsia" w:ascii="仿宋_GB2312" w:eastAsia="仿宋_GB2312"/>
                <w:sz w:val="28"/>
                <w:szCs w:val="28"/>
              </w:rPr>
              <w:t>对文昌街道和龙眠街道办事处范围内的30棵古树名木进行重点保护。</w:t>
            </w:r>
          </w:p>
          <w:p w14:paraId="6E2546DB">
            <w:pPr>
              <w:spacing w:line="400" w:lineRule="exact"/>
              <w:ind w:firstLine="562" w:firstLineChars="200"/>
              <w:rPr>
                <w:rFonts w:ascii="Times New Roman" w:hAnsi="Times New Roman"/>
                <w:sz w:val="24"/>
              </w:rPr>
            </w:pPr>
            <w:r>
              <w:rPr>
                <w:rFonts w:hint="eastAsia" w:ascii="仿宋_GB2312" w:eastAsia="仿宋_GB2312"/>
                <w:b/>
                <w:sz w:val="28"/>
                <w:szCs w:val="28"/>
              </w:rPr>
              <w:t>历史建筑。</w:t>
            </w:r>
            <w:r>
              <w:rPr>
                <w:rFonts w:hint="eastAsia" w:ascii="仿宋_GB2312" w:eastAsia="仿宋_GB2312"/>
                <w:sz w:val="28"/>
                <w:szCs w:val="28"/>
              </w:rPr>
              <w:t>共88处，包括名人故居、世家大屋、祠堂、传统民居、商业建筑以及宗教建筑等</w:t>
            </w:r>
            <w:r>
              <w:rPr>
                <w:rFonts w:hint="eastAsia" w:ascii="仿宋_GB2312" w:eastAsia="仿宋_GB2312"/>
                <w:sz w:val="28"/>
                <w:szCs w:val="28"/>
                <w:lang w:val="en-US" w:eastAsia="zh-CN"/>
              </w:rPr>
              <w:t>保护</w:t>
            </w:r>
            <w:r>
              <w:rPr>
                <w:rFonts w:hint="eastAsia" w:ascii="仿宋_GB2312" w:eastAsia="仿宋_GB2312"/>
                <w:sz w:val="28"/>
                <w:szCs w:val="28"/>
              </w:rPr>
              <w:t>。</w:t>
            </w:r>
          </w:p>
        </w:tc>
      </w:tr>
    </w:tbl>
    <w:p w14:paraId="031DB821">
      <w:pPr>
        <w:ind w:firstLine="643" w:firstLineChars="200"/>
        <w:rPr>
          <w:rFonts w:ascii="Times New Roman" w:hAnsi="Times New Roman" w:eastAsia="仿宋_GB2312"/>
          <w:sz w:val="32"/>
          <w:szCs w:val="32"/>
        </w:rPr>
      </w:pPr>
      <w:r>
        <w:rPr>
          <w:rFonts w:ascii="Times New Roman" w:hAnsi="Times New Roman" w:eastAsia="仿宋_GB2312"/>
          <w:b/>
          <w:sz w:val="32"/>
          <w:szCs w:val="32"/>
        </w:rPr>
        <w:t>提升城市建设功能品质。</w:t>
      </w:r>
      <w:r>
        <w:rPr>
          <w:rFonts w:hint="eastAsia" w:ascii="Times New Roman" w:hAnsi="Times New Roman" w:eastAsia="仿宋_GB2312"/>
          <w:sz w:val="32"/>
          <w:szCs w:val="32"/>
        </w:rPr>
        <w:t>实施城市发展质量提升工程，通过城市更新，提升城市品质。</w:t>
      </w:r>
      <w:r>
        <w:rPr>
          <w:rFonts w:ascii="Times New Roman" w:hAnsi="Times New Roman" w:eastAsia="仿宋_GB2312"/>
          <w:sz w:val="32"/>
          <w:szCs w:val="32"/>
        </w:rPr>
        <w:t>强化“精明增长”理念，着力增强城市发展宜居性和智慧化。突出高站位、高标准、前瞻性、功能性，提升城市规划设计水平，加强标志性建筑设计，打造更多的城市亮点和建筑精品。持续巩固文明城市创建成果，促进城市管理向精细化、智能化方向迈进，积极创建国家级卫生</w:t>
      </w:r>
      <w:r>
        <w:rPr>
          <w:rFonts w:hint="eastAsia" w:ascii="Times New Roman" w:hAnsi="Times New Roman" w:eastAsia="仿宋_GB2312"/>
          <w:sz w:val="32"/>
          <w:szCs w:val="32"/>
        </w:rPr>
        <w:t>县城。完善城市公园布局，</w:t>
      </w:r>
      <w:r>
        <w:rPr>
          <w:rFonts w:hint="eastAsia" w:ascii="Times New Roman" w:hAnsi="Times New Roman" w:eastAsia="仿宋_GB2312"/>
          <w:sz w:val="32"/>
          <w:szCs w:val="32"/>
          <w:lang w:val="en-US" w:eastAsia="zh-CN"/>
        </w:rPr>
        <w:t>发展城市绿道，骑行公园、慢行系统，</w:t>
      </w:r>
      <w:r>
        <w:rPr>
          <w:rFonts w:hint="eastAsia" w:ascii="Times New Roman" w:hAnsi="Times New Roman" w:eastAsia="仿宋_GB2312"/>
          <w:sz w:val="32"/>
          <w:szCs w:val="32"/>
        </w:rPr>
        <w:t>让市民享有“300米见绿、500米见园”的宜居环境，</w:t>
      </w:r>
      <w:r>
        <w:rPr>
          <w:rFonts w:hint="eastAsia" w:ascii="Times New Roman" w:hAnsi="Times New Roman" w:eastAsia="仿宋_GB2312"/>
          <w:sz w:val="32"/>
          <w:szCs w:val="32"/>
          <w:lang w:val="en-US" w:eastAsia="zh-CN"/>
        </w:rPr>
        <w:t>拓展城市运动休闲空间，</w:t>
      </w:r>
      <w:r>
        <w:rPr>
          <w:rFonts w:hint="eastAsia" w:ascii="Times New Roman" w:hAnsi="Times New Roman" w:eastAsia="仿宋_GB2312"/>
          <w:sz w:val="32"/>
          <w:szCs w:val="32"/>
        </w:rPr>
        <w:t>巩固国家园林城市创建成果。继续实施棚户区和老旧小区改造并向集镇拓展，增加保障性住房供给，促进房地产平稳健康发展。</w:t>
      </w:r>
      <w:r>
        <w:rPr>
          <w:rFonts w:ascii="Times New Roman" w:hAnsi="Times New Roman" w:eastAsia="仿宋_GB2312"/>
          <w:sz w:val="32"/>
          <w:szCs w:val="32"/>
        </w:rPr>
        <w:t>积极推进生活垃圾分类，</w:t>
      </w:r>
      <w:r>
        <w:rPr>
          <w:rFonts w:hint="eastAsia" w:ascii="Times New Roman" w:hAnsi="Times New Roman" w:eastAsia="仿宋_GB2312"/>
          <w:sz w:val="32"/>
          <w:szCs w:val="32"/>
          <w:lang w:val="en-US" w:eastAsia="zh-CN"/>
        </w:rPr>
        <w:t>到2025年基本建成城市生活垃圾分类处理系统，基本实现生活垃圾无害化处理。</w:t>
      </w:r>
      <w:r>
        <w:rPr>
          <w:rFonts w:ascii="Times New Roman" w:hAnsi="Times New Roman" w:eastAsia="仿宋_GB2312"/>
          <w:sz w:val="32"/>
          <w:szCs w:val="32"/>
        </w:rPr>
        <w:t>完善停车场、菜市场、充电桩等配套设施建设，打造城市社区“15分钟”生活圈。</w:t>
      </w:r>
    </w:p>
    <w:p w14:paraId="738C4906">
      <w:pPr>
        <w:pStyle w:val="2"/>
      </w:pPr>
    </w:p>
    <w:tbl>
      <w:tblPr>
        <w:tblStyle w:val="38"/>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22"/>
      </w:tblGrid>
      <w:tr w14:paraId="7CBC74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Pr>
          <w:p w14:paraId="1C793B7A">
            <w:pPr>
              <w:tabs>
                <w:tab w:val="left" w:pos="540"/>
              </w:tabs>
              <w:snapToGrid w:val="0"/>
              <w:spacing w:line="360" w:lineRule="auto"/>
              <w:jc w:val="center"/>
              <w:rPr>
                <w:rFonts w:ascii="楷体" w:hAnsi="楷体" w:eastAsia="楷体" w:cs="仿宋_GB2312"/>
                <w:b/>
                <w:sz w:val="30"/>
                <w:szCs w:val="30"/>
                <w:lang w:val="zh-CN"/>
              </w:rPr>
            </w:pPr>
            <w:r>
              <w:rPr>
                <w:rFonts w:ascii="楷体" w:hAnsi="楷体" w:eastAsia="楷体" w:cs="仿宋_GB2312"/>
                <w:b/>
                <w:sz w:val="30"/>
                <w:szCs w:val="30"/>
                <w:lang w:val="zh-CN"/>
              </w:rPr>
              <w:t>专栏</w:t>
            </w:r>
            <w:r>
              <w:rPr>
                <w:rFonts w:hint="eastAsia" w:ascii="楷体" w:hAnsi="楷体" w:eastAsia="楷体" w:cs="仿宋_GB2312"/>
                <w:b/>
                <w:sz w:val="30"/>
                <w:szCs w:val="30"/>
                <w:lang w:val="zh-CN"/>
              </w:rPr>
              <w:t>1</w:t>
            </w:r>
            <w:r>
              <w:rPr>
                <w:rFonts w:hint="eastAsia" w:ascii="楷体" w:hAnsi="楷体" w:eastAsia="楷体" w:cs="仿宋_GB2312"/>
                <w:b/>
                <w:sz w:val="30"/>
                <w:szCs w:val="30"/>
                <w:lang w:val="en-US" w:eastAsia="zh-CN"/>
              </w:rPr>
              <w:t>4</w:t>
            </w:r>
            <w:r>
              <w:rPr>
                <w:rFonts w:hint="eastAsia" w:ascii="楷体" w:hAnsi="楷体" w:eastAsia="楷体" w:cs="仿宋_GB2312"/>
                <w:b/>
                <w:sz w:val="30"/>
                <w:szCs w:val="30"/>
                <w:lang w:val="zh-CN"/>
              </w:rPr>
              <w:t>：新型</w:t>
            </w:r>
            <w:r>
              <w:rPr>
                <w:rFonts w:ascii="楷体" w:hAnsi="楷体" w:eastAsia="楷体" w:cs="仿宋_GB2312"/>
                <w:b/>
                <w:sz w:val="30"/>
                <w:szCs w:val="30"/>
                <w:lang w:val="zh-CN"/>
              </w:rPr>
              <w:t>城镇化建设重大项目</w:t>
            </w:r>
          </w:p>
          <w:p w14:paraId="665F0BE8">
            <w:pPr>
              <w:spacing w:line="400" w:lineRule="exact"/>
              <w:ind w:firstLine="562" w:firstLineChars="200"/>
              <w:rPr>
                <w:rFonts w:hint="eastAsia" w:ascii="仿宋_GB2312" w:eastAsia="仿宋_GB2312"/>
                <w:sz w:val="28"/>
                <w:szCs w:val="28"/>
                <w:lang w:eastAsia="zh-CN"/>
              </w:rPr>
            </w:pPr>
            <w:r>
              <w:rPr>
                <w:rFonts w:hint="eastAsia" w:ascii="仿宋_GB2312" w:eastAsia="仿宋_GB2312"/>
                <w:b/>
                <w:sz w:val="28"/>
                <w:szCs w:val="28"/>
              </w:rPr>
              <w:t>公共服务设施提标扩面：</w:t>
            </w:r>
            <w:r>
              <w:rPr>
                <w:rFonts w:hint="eastAsia" w:ascii="仿宋_GB2312" w:eastAsia="仿宋_GB2312"/>
                <w:sz w:val="28"/>
                <w:szCs w:val="28"/>
              </w:rPr>
              <w:t>优化医疗卫生设施、教育设施、养老托育设施、文旅体育设施、社会福利设施和社区综合服务设施。</w:t>
            </w:r>
            <w:r>
              <w:rPr>
                <w:rFonts w:hint="eastAsia" w:ascii="仿宋_GB2312" w:eastAsia="仿宋_GB2312"/>
                <w:sz w:val="28"/>
                <w:szCs w:val="28"/>
                <w:lang w:val="en-US" w:eastAsia="zh-CN"/>
              </w:rPr>
              <w:t>桐城市人民医院新区投入使用，实施桐城市中医院、</w:t>
            </w:r>
            <w:r>
              <w:rPr>
                <w:rFonts w:hint="eastAsia" w:ascii="仿宋_GB2312" w:eastAsia="仿宋_GB2312"/>
                <w:sz w:val="28"/>
                <w:szCs w:val="28"/>
              </w:rPr>
              <w:t>疾</w:t>
            </w:r>
            <w:r>
              <w:rPr>
                <w:rFonts w:hint="eastAsia" w:ascii="仿宋_GB2312" w:eastAsia="仿宋_GB2312"/>
                <w:sz w:val="28"/>
                <w:szCs w:val="28"/>
                <w:lang w:val="en-US" w:eastAsia="zh-CN"/>
              </w:rPr>
              <w:t>控</w:t>
            </w:r>
            <w:r>
              <w:rPr>
                <w:rFonts w:hint="eastAsia" w:ascii="仿宋_GB2312" w:eastAsia="仿宋_GB2312"/>
                <w:sz w:val="28"/>
                <w:szCs w:val="28"/>
              </w:rPr>
              <w:t>中心</w:t>
            </w:r>
            <w:r>
              <w:rPr>
                <w:rFonts w:hint="eastAsia" w:ascii="仿宋_GB2312" w:eastAsia="仿宋_GB2312"/>
                <w:sz w:val="28"/>
                <w:szCs w:val="28"/>
                <w:lang w:eastAsia="zh-CN"/>
              </w:rPr>
              <w:t>、</w:t>
            </w:r>
            <w:r>
              <w:rPr>
                <w:rFonts w:hint="eastAsia" w:ascii="仿宋_GB2312" w:eastAsia="仿宋_GB2312"/>
                <w:sz w:val="28"/>
                <w:szCs w:val="28"/>
                <w:lang w:val="en-US" w:eastAsia="zh-CN"/>
              </w:rPr>
              <w:t>妇幼保健院和镇卫生院等公共卫生能力提升工程；实施教育信息化2.0行动，开展智慧课堂、未来教室、网络学习空间、创新实训室等；加大小区配套幼儿园、镇中心幼儿园建设、托幼中心建设，加强社区婴幼儿照护服务设施与社区服务中心（站）建设；</w:t>
            </w:r>
            <w:r>
              <w:rPr>
                <w:rFonts w:hint="eastAsia" w:ascii="仿宋_GB2312" w:eastAsia="仿宋_GB2312"/>
                <w:sz w:val="28"/>
                <w:szCs w:val="28"/>
              </w:rPr>
              <w:t>加快市文化馆、图书馆建设，建设数字图书馆、数字博物馆和数字文化馆</w:t>
            </w:r>
            <w:r>
              <w:rPr>
                <w:rFonts w:hint="eastAsia" w:ascii="仿宋_GB2312" w:eastAsia="仿宋_GB2312"/>
                <w:sz w:val="28"/>
                <w:szCs w:val="28"/>
                <w:lang w:eastAsia="zh-CN"/>
              </w:rPr>
              <w:t>；</w:t>
            </w:r>
            <w:r>
              <w:rPr>
                <w:rFonts w:hint="eastAsia" w:ascii="仿宋_GB2312" w:eastAsia="仿宋_GB2312"/>
                <w:sz w:val="28"/>
                <w:szCs w:val="28"/>
                <w:lang w:val="en-US" w:eastAsia="zh-CN"/>
              </w:rPr>
              <w:t>继续完善体育中心设施，建设</w:t>
            </w:r>
            <w:r>
              <w:rPr>
                <w:rFonts w:hint="eastAsia" w:ascii="仿宋_GB2312" w:eastAsia="仿宋_GB2312"/>
                <w:sz w:val="28"/>
                <w:szCs w:val="28"/>
              </w:rPr>
              <w:t>游泳场馆、</w:t>
            </w:r>
            <w:r>
              <w:rPr>
                <w:rFonts w:hint="eastAsia" w:ascii="仿宋_GB2312" w:eastAsia="仿宋_GB2312"/>
                <w:sz w:val="28"/>
                <w:szCs w:val="28"/>
                <w:lang w:val="en-US" w:eastAsia="zh-CN"/>
              </w:rPr>
              <w:t>网球馆等；推进</w:t>
            </w:r>
            <w:r>
              <w:rPr>
                <w:rFonts w:hint="eastAsia" w:ascii="仿宋_GB2312" w:eastAsia="仿宋_GB2312"/>
                <w:sz w:val="28"/>
                <w:szCs w:val="28"/>
              </w:rPr>
              <w:t>足球场、健身步道、体育生态公园</w:t>
            </w:r>
            <w:r>
              <w:rPr>
                <w:rFonts w:hint="eastAsia" w:ascii="仿宋_GB2312" w:eastAsia="仿宋_GB2312"/>
                <w:sz w:val="28"/>
                <w:szCs w:val="28"/>
                <w:lang w:eastAsia="zh-CN"/>
              </w:rPr>
              <w:t>、</w:t>
            </w:r>
            <w:r>
              <w:rPr>
                <w:rFonts w:hint="eastAsia" w:ascii="仿宋_GB2312" w:eastAsia="仿宋_GB2312"/>
                <w:sz w:val="28"/>
                <w:szCs w:val="28"/>
              </w:rPr>
              <w:t>老年养护院、区域养老中心</w:t>
            </w:r>
            <w:r>
              <w:rPr>
                <w:rFonts w:hint="eastAsia" w:ascii="仿宋_GB2312" w:eastAsia="仿宋_GB2312"/>
                <w:sz w:val="28"/>
                <w:szCs w:val="28"/>
                <w:lang w:eastAsia="zh-CN"/>
              </w:rPr>
              <w:t>、</w:t>
            </w:r>
            <w:r>
              <w:rPr>
                <w:rFonts w:hint="eastAsia" w:ascii="仿宋_GB2312" w:eastAsia="仿宋_GB2312"/>
                <w:sz w:val="28"/>
                <w:szCs w:val="28"/>
                <w:lang w:val="en-US" w:eastAsia="zh-CN"/>
              </w:rPr>
              <w:t>智慧社区等项目</w:t>
            </w:r>
            <w:r>
              <w:rPr>
                <w:rFonts w:hint="eastAsia" w:ascii="仿宋_GB2312" w:eastAsia="仿宋_GB2312"/>
                <w:sz w:val="28"/>
                <w:szCs w:val="28"/>
              </w:rPr>
              <w:t>建设</w:t>
            </w:r>
            <w:r>
              <w:rPr>
                <w:rFonts w:hint="eastAsia" w:ascii="仿宋_GB2312" w:eastAsia="仿宋_GB2312"/>
                <w:sz w:val="28"/>
                <w:szCs w:val="28"/>
                <w:lang w:eastAsia="zh-CN"/>
              </w:rPr>
              <w:t>。</w:t>
            </w:r>
          </w:p>
          <w:p w14:paraId="79691C4A">
            <w:pPr>
              <w:spacing w:line="400" w:lineRule="exact"/>
              <w:ind w:firstLine="562" w:firstLineChars="200"/>
              <w:rPr>
                <w:rFonts w:hint="eastAsia" w:ascii="仿宋_GB2312" w:eastAsia="仿宋_GB2312"/>
                <w:sz w:val="28"/>
                <w:szCs w:val="28"/>
                <w:lang w:val="en-US" w:eastAsia="zh-CN"/>
              </w:rPr>
            </w:pPr>
            <w:r>
              <w:rPr>
                <w:rFonts w:hint="eastAsia" w:ascii="仿宋_GB2312" w:eastAsia="仿宋_GB2312"/>
                <w:b/>
                <w:sz w:val="28"/>
                <w:szCs w:val="28"/>
              </w:rPr>
              <w:t>环境卫</w:t>
            </w:r>
            <w:r>
              <w:rPr>
                <w:rFonts w:hint="eastAsia" w:ascii="仿宋_GB2312" w:eastAsia="仿宋_GB2312"/>
                <w:b/>
                <w:sz w:val="28"/>
                <w:szCs w:val="28"/>
                <w:lang w:val="en-US" w:eastAsia="zh-CN"/>
              </w:rPr>
              <w:t>生设施提级扩能：</w:t>
            </w:r>
            <w:r>
              <w:rPr>
                <w:rFonts w:hint="eastAsia" w:ascii="仿宋_GB2312" w:eastAsia="仿宋_GB2312"/>
                <w:sz w:val="28"/>
                <w:szCs w:val="28"/>
                <w:lang w:val="en-US" w:eastAsia="zh-CN"/>
              </w:rPr>
              <w:t>完善垃圾无害化资源化处理设施、污水集中处理设施和县城公共厕所。继续实施城乡环卫一体化、城区污水管网提质增效工程、中心镇污水处理设施及配套管网工程、城区改厕等项目；扩建城南污水处理厂、南部新区二期污水处理厂；建成建筑垃圾处理中心、餐厨垃圾处理中心，推进城镇生活垃圾分类收集处理一体化。</w:t>
            </w:r>
          </w:p>
          <w:p w14:paraId="4A19A52F">
            <w:pPr>
              <w:spacing w:line="400" w:lineRule="exact"/>
              <w:ind w:firstLine="562" w:firstLineChars="200"/>
              <w:rPr>
                <w:rFonts w:hint="eastAsia" w:ascii="仿宋_GB2312" w:eastAsia="仿宋_GB2312"/>
                <w:sz w:val="28"/>
                <w:szCs w:val="28"/>
                <w:lang w:val="en-US" w:eastAsia="zh-CN"/>
              </w:rPr>
            </w:pPr>
            <w:r>
              <w:rPr>
                <w:rFonts w:hint="eastAsia" w:ascii="仿宋_GB2312" w:eastAsia="仿宋_GB2312"/>
                <w:b/>
                <w:sz w:val="28"/>
                <w:szCs w:val="28"/>
                <w:lang w:val="en-US" w:eastAsia="zh-CN"/>
              </w:rPr>
              <w:t>市政公用设施提档升级：</w:t>
            </w:r>
            <w:r>
              <w:rPr>
                <w:rFonts w:hint="eastAsia" w:ascii="仿宋_GB2312" w:eastAsia="仿宋_GB2312"/>
                <w:sz w:val="28"/>
                <w:szCs w:val="28"/>
                <w:lang w:val="en-US" w:eastAsia="zh-CN"/>
              </w:rPr>
              <w:t>推进市政交通设施、市政管网设施、配送投递设施、老旧小区更新改造和县城智慧化改造。继续实施智慧交通、智慧停车、城镇老旧小区改造、老城区城市更新、县城道路综合提升、燃气管网改造、城乡供水一体化、邮政公共配送中心等项目建设。</w:t>
            </w:r>
          </w:p>
          <w:p w14:paraId="5D5D3304">
            <w:pPr>
              <w:spacing w:line="400" w:lineRule="exact"/>
              <w:ind w:firstLine="562" w:firstLineChars="200"/>
              <w:rPr>
                <w:rFonts w:ascii="仿宋_GB2312" w:hAnsi="Times New Roman" w:eastAsia="仿宋_GB2312"/>
                <w:bCs/>
                <w:sz w:val="28"/>
                <w:szCs w:val="28"/>
              </w:rPr>
            </w:pPr>
            <w:r>
              <w:rPr>
                <w:rFonts w:hint="eastAsia" w:ascii="仿宋_GB2312" w:eastAsia="仿宋_GB2312"/>
                <w:b/>
                <w:sz w:val="28"/>
                <w:szCs w:val="28"/>
                <w:lang w:val="en-US" w:eastAsia="zh-CN"/>
              </w:rPr>
              <w:t>产业培育设施提质增效：</w:t>
            </w:r>
            <w:r>
              <w:rPr>
                <w:rFonts w:hint="eastAsia" w:ascii="仿宋_GB2312" w:eastAsia="仿宋_GB2312"/>
                <w:sz w:val="28"/>
                <w:szCs w:val="28"/>
                <w:lang w:val="en-US" w:eastAsia="zh-CN"/>
              </w:rPr>
              <w:t>完善产业平台配套设施、冷链物流设施和农贸市场。建成农贸市场、经开区双创园、双新10万方标准化厂房；推进县城农产品智慧冷链物流平台、产业集群公共技术服务平台、产城融合一体化建设等项目实施。</w:t>
            </w:r>
          </w:p>
        </w:tc>
      </w:tr>
    </w:tbl>
    <w:p w14:paraId="7D41A236">
      <w:pPr>
        <w:spacing w:before="100" w:beforeAutospacing="1" w:after="100" w:afterAutospacing="1"/>
        <w:jc w:val="center"/>
        <w:outlineLvl w:val="1"/>
        <w:rPr>
          <w:rFonts w:ascii="Times New Roman" w:hAnsi="Times New Roman" w:eastAsia="黑体"/>
          <w:sz w:val="32"/>
          <w:szCs w:val="32"/>
        </w:rPr>
      </w:pPr>
      <w:bookmarkStart w:id="72" w:name="_Toc25827"/>
      <w:r>
        <w:rPr>
          <w:rFonts w:ascii="Times New Roman" w:hAnsi="Times New Roman" w:eastAsia="黑体"/>
          <w:sz w:val="32"/>
          <w:szCs w:val="32"/>
        </w:rPr>
        <w:t>第</w:t>
      </w:r>
      <w:r>
        <w:rPr>
          <w:rFonts w:hint="eastAsia" w:ascii="Times New Roman" w:hAnsi="Times New Roman" w:eastAsia="黑体"/>
          <w:sz w:val="32"/>
          <w:szCs w:val="32"/>
        </w:rPr>
        <w:t>四</w:t>
      </w:r>
      <w:r>
        <w:rPr>
          <w:rFonts w:ascii="Times New Roman" w:hAnsi="Times New Roman" w:eastAsia="黑体"/>
          <w:sz w:val="32"/>
          <w:szCs w:val="32"/>
        </w:rPr>
        <w:t>节</w:t>
      </w:r>
      <w:r>
        <w:rPr>
          <w:rFonts w:hint="eastAsia" w:ascii="Times New Roman" w:hAnsi="Times New Roman" w:eastAsia="黑体"/>
          <w:sz w:val="32"/>
          <w:szCs w:val="32"/>
          <w:lang w:val="en-US" w:eastAsia="zh-CN"/>
        </w:rPr>
        <w:t xml:space="preserve"> </w:t>
      </w:r>
      <w:r>
        <w:rPr>
          <w:rFonts w:hint="eastAsia" w:ascii="Times New Roman" w:hAnsi="Times New Roman" w:eastAsia="黑体"/>
          <w:sz w:val="32"/>
          <w:szCs w:val="32"/>
        </w:rPr>
        <w:t>健全城乡融合发展新机制</w:t>
      </w:r>
      <w:bookmarkEnd w:id="72"/>
    </w:p>
    <w:p w14:paraId="47872545">
      <w:pPr>
        <w:ind w:firstLine="643" w:firstLineChars="200"/>
        <w:rPr>
          <w:rFonts w:ascii="Times New Roman" w:hAnsi="Times New Roman" w:eastAsia="仿宋_GB2312"/>
          <w:sz w:val="32"/>
          <w:szCs w:val="32"/>
        </w:rPr>
      </w:pPr>
      <w:r>
        <w:rPr>
          <w:rFonts w:ascii="Times New Roman" w:hAnsi="Times New Roman" w:eastAsia="仿宋_GB2312"/>
          <w:b/>
          <w:sz w:val="32"/>
          <w:szCs w:val="32"/>
        </w:rPr>
        <w:t>深入推进农业转移人口市民化。</w:t>
      </w:r>
      <w:r>
        <w:rPr>
          <w:rFonts w:ascii="Times New Roman" w:hAnsi="Times New Roman" w:eastAsia="仿宋_GB2312"/>
          <w:sz w:val="32"/>
          <w:szCs w:val="32"/>
        </w:rPr>
        <w:t>有力有序有效深化户籍制度改革，促进农业转移人口落户。优化“一站式”服务，提高城镇落户便捷程度和服务水平。推动农业转移人口向现代产业工人转变，在增加城市劳动力供给的同时拉动城市内需。在确保农业转移人口“三权不变”基础上，保障农业转移人口享有城镇义务教育、住房保障、医疗卫生保障、创业就业、养老服务等基本公共服务权利，实现农业转移人口“双待遇”。积极创建城乡融合发展试验区，着力提升市区、镇区人口承载能力。</w:t>
      </w:r>
    </w:p>
    <w:p w14:paraId="70F4D0DA">
      <w:pPr>
        <w:ind w:firstLine="643" w:firstLineChars="200"/>
        <w:rPr>
          <w:rFonts w:ascii="Times New Roman" w:hAnsi="Times New Roman" w:eastAsia="仿宋_GB2312"/>
          <w:kern w:val="0"/>
          <w:sz w:val="32"/>
          <w:szCs w:val="32"/>
        </w:rPr>
        <w:sectPr>
          <w:footerReference r:id="rId5" w:type="default"/>
          <w:pgSz w:w="11906" w:h="16838"/>
          <w:pgMar w:top="1440" w:right="1800" w:bottom="1440" w:left="1800" w:header="851" w:footer="992" w:gutter="0"/>
          <w:pgNumType w:fmt="decimal"/>
          <w:cols w:space="720" w:num="1"/>
          <w:docGrid w:type="lines" w:linePitch="312" w:charSpace="0"/>
        </w:sectPr>
      </w:pPr>
      <w:r>
        <w:rPr>
          <w:rFonts w:ascii="Times New Roman" w:hAnsi="Times New Roman" w:eastAsia="仿宋_GB2312"/>
          <w:b/>
          <w:sz w:val="32"/>
          <w:szCs w:val="32"/>
        </w:rPr>
        <w:t>推进城乡要素自由流动和合理配置。</w:t>
      </w:r>
      <w:r>
        <w:rPr>
          <w:rFonts w:ascii="Times New Roman" w:hAnsi="Times New Roman" w:eastAsia="仿宋_GB2312"/>
          <w:sz w:val="32"/>
          <w:szCs w:val="32"/>
        </w:rPr>
        <w:t>建立城市人才入乡激励机制，鼓励科研人员到乡村兼职和离岗创业。充分运用信息化手段推动优质公共资源城乡共享，大力推进智慧小区、“互联网+医疗健康”建设。促进城乡基础设施统一规划、建设和管护，推动5G网络等新型基础设施在农村布局。坚持以“三产融合”助推城乡融合，培育新产业新业态，实现乡村经济多元化和农业全产业链发展。</w:t>
      </w:r>
    </w:p>
    <w:p w14:paraId="1A911A3A">
      <w:pPr>
        <w:pStyle w:val="3"/>
        <w:spacing w:before="100" w:beforeAutospacing="1" w:after="100" w:afterAutospacing="1"/>
        <w:jc w:val="center"/>
        <w:rPr>
          <w:rFonts w:eastAsia="方正小标宋简体"/>
        </w:rPr>
      </w:pPr>
      <w:bookmarkStart w:id="73" w:name="_Toc53003459"/>
      <w:bookmarkStart w:id="74" w:name="_Toc15134"/>
      <w:r>
        <w:rPr>
          <w:rFonts w:hint="eastAsia" w:eastAsia="方正小标宋简体"/>
        </w:rPr>
        <w:t>完善基础设施</w:t>
      </w:r>
      <w:r>
        <w:rPr>
          <w:rFonts w:eastAsia="方正小标宋简体"/>
        </w:rPr>
        <w:t>，提升城乡综合承载能力</w:t>
      </w:r>
      <w:bookmarkEnd w:id="73"/>
      <w:bookmarkEnd w:id="74"/>
    </w:p>
    <w:p w14:paraId="6974A849">
      <w:pPr>
        <w:ind w:firstLine="640" w:firstLineChars="200"/>
        <w:rPr>
          <w:rFonts w:ascii="Times New Roman" w:hAnsi="Times New Roman" w:eastAsia="仿宋_GB2312"/>
          <w:sz w:val="32"/>
          <w:szCs w:val="32"/>
        </w:rPr>
      </w:pPr>
      <w:r>
        <w:rPr>
          <w:rFonts w:ascii="Times New Roman" w:hAnsi="Times New Roman" w:eastAsia="仿宋_GB2312"/>
          <w:sz w:val="32"/>
          <w:szCs w:val="32"/>
        </w:rPr>
        <w:t>坚持适度超前、协同推进，统筹传统和新型基础设施发展，着力补齐短板、提高水平，</w:t>
      </w:r>
      <w:r>
        <w:rPr>
          <w:rFonts w:hint="eastAsia" w:ascii="Times New Roman" w:hAnsi="Times New Roman" w:eastAsia="仿宋_GB2312"/>
          <w:sz w:val="32"/>
          <w:szCs w:val="32"/>
        </w:rPr>
        <w:t>构建</w:t>
      </w:r>
      <w:r>
        <w:rPr>
          <w:rFonts w:ascii="Times New Roman" w:hAnsi="Times New Roman" w:eastAsia="仿宋_GB2312"/>
          <w:sz w:val="32"/>
          <w:szCs w:val="32"/>
        </w:rPr>
        <w:t>系统完备</w:t>
      </w:r>
      <w:r>
        <w:rPr>
          <w:rFonts w:hint="eastAsia" w:ascii="Times New Roman" w:hAnsi="Times New Roman" w:eastAsia="仿宋_GB2312"/>
          <w:sz w:val="32"/>
          <w:szCs w:val="32"/>
        </w:rPr>
        <w:t>、</w:t>
      </w:r>
      <w:r>
        <w:rPr>
          <w:rFonts w:ascii="Times New Roman" w:hAnsi="Times New Roman" w:eastAsia="仿宋_GB2312"/>
          <w:sz w:val="32"/>
          <w:szCs w:val="32"/>
        </w:rPr>
        <w:t>高效实用</w:t>
      </w:r>
      <w:r>
        <w:rPr>
          <w:rFonts w:hint="eastAsia" w:ascii="Times New Roman" w:hAnsi="Times New Roman" w:eastAsia="仿宋_GB2312"/>
          <w:sz w:val="32"/>
          <w:szCs w:val="32"/>
        </w:rPr>
        <w:t>、</w:t>
      </w:r>
      <w:r>
        <w:rPr>
          <w:rFonts w:ascii="Times New Roman" w:hAnsi="Times New Roman" w:eastAsia="仿宋_GB2312"/>
          <w:sz w:val="32"/>
          <w:szCs w:val="32"/>
        </w:rPr>
        <w:t>智能绿色</w:t>
      </w:r>
      <w:r>
        <w:rPr>
          <w:rFonts w:hint="eastAsia" w:ascii="Times New Roman" w:hAnsi="Times New Roman" w:eastAsia="仿宋_GB2312"/>
          <w:sz w:val="32"/>
          <w:szCs w:val="32"/>
        </w:rPr>
        <w:t>、</w:t>
      </w:r>
      <w:r>
        <w:rPr>
          <w:rFonts w:ascii="Times New Roman" w:hAnsi="Times New Roman" w:eastAsia="仿宋_GB2312"/>
          <w:sz w:val="32"/>
          <w:szCs w:val="32"/>
        </w:rPr>
        <w:t>安全可靠的现代基础设施体系。</w:t>
      </w:r>
    </w:p>
    <w:p w14:paraId="4F56D1D9">
      <w:pPr>
        <w:tabs>
          <w:tab w:val="left" w:pos="1140"/>
          <w:tab w:val="center" w:pos="4153"/>
        </w:tabs>
        <w:spacing w:before="100" w:beforeAutospacing="1" w:after="100" w:afterAutospacing="1"/>
        <w:jc w:val="center"/>
        <w:outlineLvl w:val="1"/>
        <w:rPr>
          <w:rFonts w:ascii="Times New Roman" w:hAnsi="Times New Roman" w:eastAsia="黑体"/>
          <w:sz w:val="32"/>
          <w:szCs w:val="32"/>
        </w:rPr>
      </w:pPr>
      <w:bookmarkStart w:id="75" w:name="_Toc1708"/>
      <w:bookmarkStart w:id="76" w:name="_Toc53003460"/>
      <w:bookmarkStart w:id="77" w:name="_Toc53004305"/>
      <w:r>
        <w:rPr>
          <w:rFonts w:ascii="Times New Roman" w:hAnsi="Times New Roman" w:eastAsia="黑体"/>
          <w:sz w:val="32"/>
          <w:szCs w:val="32"/>
        </w:rPr>
        <w:t>第一节</w:t>
      </w:r>
      <w:r>
        <w:rPr>
          <w:rFonts w:hint="eastAsia" w:ascii="Times New Roman" w:hAnsi="Times New Roman" w:eastAsia="黑体"/>
          <w:sz w:val="32"/>
          <w:szCs w:val="32"/>
          <w:lang w:val="en-US" w:eastAsia="zh-CN"/>
        </w:rPr>
        <w:t xml:space="preserve"> </w:t>
      </w:r>
      <w:r>
        <w:rPr>
          <w:rFonts w:ascii="Times New Roman" w:hAnsi="Times New Roman" w:eastAsia="黑体"/>
          <w:sz w:val="32"/>
          <w:szCs w:val="32"/>
        </w:rPr>
        <w:t>加快新型基础设施建设</w:t>
      </w:r>
      <w:bookmarkEnd w:id="75"/>
      <w:bookmarkEnd w:id="76"/>
      <w:bookmarkEnd w:id="77"/>
    </w:p>
    <w:p w14:paraId="5E458CF3">
      <w:pPr>
        <w:ind w:firstLine="640" w:firstLineChars="200"/>
        <w:rPr>
          <w:rFonts w:ascii="Times New Roman" w:hAnsi="Times New Roman" w:eastAsia="仿宋_GB2312"/>
          <w:sz w:val="32"/>
          <w:szCs w:val="32"/>
        </w:rPr>
      </w:pPr>
      <w:r>
        <w:rPr>
          <w:rFonts w:ascii="Times New Roman" w:hAnsi="Times New Roman" w:eastAsia="仿宋_GB2312"/>
          <w:sz w:val="32"/>
          <w:szCs w:val="32"/>
        </w:rPr>
        <w:t>统筹信息基础设施建设，深化信息资源与服务融合，促进网络资源共享，全面提升信息化水平。高标准推进5G网络建设，加快5G基站联网组网及配套设施建设，实现5G网络全覆盖。进一步提升高速光纤覆盖率和无线网络覆盖率，形成超高速、大容量、高智能传输网络。深入推进“三网”融合，统筹布局新一代通信网、下一代广播电视网等基础设施。深入推进IPv6规模部署，推动网络基础设施和大型应用基础设施的IPv6改造。结合智慧产业和智慧城市、智慧生活应用需求，高起点、高标准、高质量建设云计算中心和数据中心。</w:t>
      </w:r>
      <w:r>
        <w:rPr>
          <w:rFonts w:hint="eastAsia" w:ascii="Times New Roman" w:hAnsi="Times New Roman" w:eastAsia="仿宋_GB2312"/>
          <w:sz w:val="32"/>
          <w:szCs w:val="32"/>
        </w:rPr>
        <w:t>加大</w:t>
      </w:r>
      <w:r>
        <w:rPr>
          <w:rFonts w:ascii="Times New Roman" w:hAnsi="Times New Roman" w:eastAsia="仿宋_GB2312"/>
          <w:sz w:val="32"/>
          <w:szCs w:val="32"/>
        </w:rPr>
        <w:t>工业互联网</w:t>
      </w:r>
      <w:r>
        <w:rPr>
          <w:rFonts w:hint="eastAsia" w:ascii="Times New Roman" w:hAnsi="Times New Roman" w:eastAsia="仿宋_GB2312"/>
          <w:sz w:val="32"/>
          <w:szCs w:val="32"/>
        </w:rPr>
        <w:t>平台</w:t>
      </w:r>
      <w:r>
        <w:rPr>
          <w:rFonts w:ascii="Times New Roman" w:hAnsi="Times New Roman" w:eastAsia="仿宋_GB2312"/>
          <w:sz w:val="32"/>
          <w:szCs w:val="32"/>
        </w:rPr>
        <w:t>建设</w:t>
      </w:r>
      <w:r>
        <w:rPr>
          <w:rFonts w:hint="eastAsia" w:ascii="Times New Roman" w:hAnsi="Times New Roman" w:eastAsia="仿宋_GB2312"/>
          <w:sz w:val="32"/>
          <w:szCs w:val="32"/>
        </w:rPr>
        <w:t>力度</w:t>
      </w:r>
      <w:r>
        <w:rPr>
          <w:rFonts w:ascii="Times New Roman" w:hAnsi="Times New Roman" w:eastAsia="仿宋_GB2312"/>
          <w:sz w:val="32"/>
          <w:szCs w:val="32"/>
        </w:rPr>
        <w:t>，加快工业企业内外网改造，推动5G在工业企业的应用部署。完善人工智能基础设施，建设面向人工智能技术的公共数据资源库、云服务平台等基础数据平台。应用互联网、大数据、人工智能等技术，支撑传统基础设施数字化升级。</w:t>
      </w:r>
    </w:p>
    <w:p w14:paraId="55C0AB0C">
      <w:pPr>
        <w:pStyle w:val="2"/>
      </w:pPr>
    </w:p>
    <w:p w14:paraId="4C7DD73A">
      <w:pPr>
        <w:tabs>
          <w:tab w:val="left" w:pos="1140"/>
          <w:tab w:val="center" w:pos="4153"/>
        </w:tabs>
        <w:spacing w:before="100" w:beforeAutospacing="1" w:after="100" w:afterAutospacing="1"/>
        <w:jc w:val="center"/>
        <w:outlineLvl w:val="1"/>
        <w:rPr>
          <w:rFonts w:ascii="Times New Roman" w:hAnsi="Times New Roman" w:eastAsia="黑体"/>
          <w:sz w:val="32"/>
          <w:szCs w:val="32"/>
        </w:rPr>
      </w:pPr>
      <w:bookmarkStart w:id="78" w:name="_Toc2612"/>
      <w:r>
        <w:rPr>
          <w:rFonts w:ascii="Times New Roman" w:hAnsi="Times New Roman" w:eastAsia="黑体"/>
          <w:sz w:val="32"/>
          <w:szCs w:val="32"/>
        </w:rPr>
        <w:t>第二节</w:t>
      </w:r>
      <w:r>
        <w:rPr>
          <w:rFonts w:hint="eastAsia" w:ascii="Times New Roman" w:hAnsi="Times New Roman" w:eastAsia="黑体"/>
          <w:sz w:val="32"/>
          <w:szCs w:val="32"/>
          <w:lang w:val="en-US" w:eastAsia="zh-CN"/>
        </w:rPr>
        <w:t xml:space="preserve"> </w:t>
      </w:r>
      <w:r>
        <w:rPr>
          <w:rFonts w:hint="eastAsia" w:ascii="Times New Roman" w:hAnsi="Times New Roman" w:eastAsia="黑体"/>
          <w:sz w:val="32"/>
          <w:szCs w:val="32"/>
        </w:rPr>
        <w:t>提升立体综合交通网络</w:t>
      </w:r>
      <w:bookmarkEnd w:id="78"/>
    </w:p>
    <w:p w14:paraId="5FA3FECD">
      <w:pPr>
        <w:pStyle w:val="9"/>
        <w:ind w:firstLine="640"/>
        <w:rPr>
          <w:rFonts w:ascii="Times New Roman" w:hAnsi="Times New Roman" w:eastAsia="仿宋_GB2312"/>
          <w:sz w:val="32"/>
          <w:szCs w:val="32"/>
        </w:rPr>
      </w:pPr>
      <w:r>
        <w:rPr>
          <w:rFonts w:hint="eastAsia" w:ascii="Times New Roman" w:hAnsi="Times New Roman" w:eastAsia="仿宋_GB2312"/>
          <w:sz w:val="32"/>
          <w:szCs w:val="32"/>
        </w:rPr>
        <w:t>完善交通体系，构建大交通格局，把桐城打造成区域交通枢纽。</w:t>
      </w:r>
    </w:p>
    <w:p w14:paraId="7754EDD3">
      <w:pPr>
        <w:ind w:firstLine="643" w:firstLineChars="200"/>
        <w:rPr>
          <w:rFonts w:ascii="Times New Roman" w:hAnsi="Times New Roman" w:eastAsia="仿宋_GB2312"/>
          <w:bCs/>
          <w:color w:val="000000"/>
          <w:sz w:val="32"/>
          <w:szCs w:val="32"/>
        </w:rPr>
      </w:pPr>
      <w:r>
        <w:rPr>
          <w:rFonts w:ascii="Times New Roman" w:hAnsi="Times New Roman" w:eastAsia="仿宋_GB2312"/>
          <w:b/>
          <w:bCs/>
          <w:color w:val="000000"/>
          <w:sz w:val="32"/>
          <w:szCs w:val="32"/>
        </w:rPr>
        <w:t>加快轨道交通谋划建设</w:t>
      </w:r>
      <w:r>
        <w:rPr>
          <w:rFonts w:hint="eastAsia" w:ascii="Times New Roman" w:hAnsi="Times New Roman" w:eastAsia="仿宋_GB2312"/>
          <w:b/>
          <w:bCs/>
          <w:color w:val="000000"/>
          <w:sz w:val="32"/>
          <w:szCs w:val="32"/>
        </w:rPr>
        <w:t>。</w:t>
      </w:r>
      <w:r>
        <w:rPr>
          <w:rFonts w:ascii="Times New Roman" w:hAnsi="Times New Roman" w:eastAsia="仿宋_GB2312"/>
          <w:bCs/>
          <w:color w:val="000000"/>
          <w:sz w:val="32"/>
          <w:szCs w:val="32"/>
        </w:rPr>
        <w:t>积极推进合肥—舒城—桐城、合肥-庐江-桐城、六安—舒城—桐城、桐城—庐江—巢湖等轨道交通建设。</w:t>
      </w:r>
    </w:p>
    <w:p w14:paraId="15966BCD">
      <w:pPr>
        <w:ind w:firstLine="643" w:firstLineChars="200"/>
        <w:rPr>
          <w:rFonts w:ascii="Times New Roman" w:hAnsi="Times New Roman" w:eastAsia="仿宋_GB2312"/>
          <w:bCs/>
          <w:color w:val="000000"/>
          <w:sz w:val="32"/>
          <w:szCs w:val="32"/>
        </w:rPr>
      </w:pPr>
      <w:r>
        <w:rPr>
          <w:rFonts w:ascii="Times New Roman" w:hAnsi="Times New Roman" w:eastAsia="仿宋_GB2312"/>
          <w:b/>
          <w:bCs/>
          <w:color w:val="000000"/>
          <w:sz w:val="32"/>
          <w:szCs w:val="32"/>
        </w:rPr>
        <w:t>大力推动公路建设</w:t>
      </w:r>
      <w:r>
        <w:rPr>
          <w:rFonts w:hint="eastAsia" w:ascii="Times New Roman" w:hAnsi="Times New Roman" w:eastAsia="仿宋_GB2312"/>
          <w:b/>
          <w:bCs/>
          <w:color w:val="000000"/>
          <w:sz w:val="32"/>
          <w:szCs w:val="32"/>
        </w:rPr>
        <w:t>。</w:t>
      </w:r>
      <w:r>
        <w:rPr>
          <w:rFonts w:ascii="Times New Roman" w:hAnsi="Times New Roman" w:eastAsia="仿宋_GB2312"/>
          <w:bCs/>
          <w:color w:val="000000"/>
          <w:sz w:val="32"/>
          <w:szCs w:val="32"/>
        </w:rPr>
        <w:t>加强与合肥都市圈区域交通一体化建设，补齐一批“末梢路”，打通一批“循环路”，建设一批“产业路”，形成三位一体的综合对外开放交通体系。</w:t>
      </w:r>
      <w:r>
        <w:rPr>
          <w:rFonts w:hint="eastAsia" w:ascii="Times New Roman" w:hAnsi="Times New Roman" w:eastAsia="仿宋_GB2312"/>
          <w:bCs/>
          <w:color w:val="000000"/>
          <w:sz w:val="32"/>
          <w:szCs w:val="32"/>
        </w:rPr>
        <w:t>完成</w:t>
      </w:r>
      <w:r>
        <w:rPr>
          <w:rFonts w:ascii="Times New Roman" w:hAnsi="Times New Roman" w:eastAsia="仿宋_GB2312"/>
          <w:bCs/>
          <w:color w:val="000000"/>
          <w:sz w:val="32"/>
          <w:szCs w:val="32"/>
        </w:rPr>
        <w:t>德上高速</w:t>
      </w:r>
      <w:r>
        <w:rPr>
          <w:rFonts w:hint="eastAsia" w:ascii="Times New Roman" w:hAnsi="Times New Roman" w:eastAsia="仿宋_GB2312"/>
          <w:bCs/>
          <w:color w:val="000000"/>
          <w:sz w:val="32"/>
          <w:szCs w:val="32"/>
        </w:rPr>
        <w:t>、无</w:t>
      </w:r>
      <w:r>
        <w:rPr>
          <w:rFonts w:ascii="Times New Roman" w:hAnsi="Times New Roman" w:eastAsia="仿宋_GB2312"/>
          <w:bCs/>
          <w:color w:val="000000"/>
          <w:sz w:val="32"/>
          <w:szCs w:val="32"/>
        </w:rPr>
        <w:t>岳高速桐城段</w:t>
      </w:r>
      <w:r>
        <w:rPr>
          <w:rFonts w:hint="eastAsia" w:ascii="Times New Roman" w:hAnsi="Times New Roman" w:eastAsia="仿宋_GB2312"/>
          <w:bCs/>
          <w:color w:val="000000"/>
          <w:sz w:val="32"/>
          <w:szCs w:val="32"/>
        </w:rPr>
        <w:t>建设，积极争取开通双新、青草境内高速出入口。新建S231及嬉子湖环湖大道，加强东西向路网建设。</w:t>
      </w:r>
    </w:p>
    <w:p w14:paraId="116A6FBC">
      <w:pPr>
        <w:ind w:firstLine="643" w:firstLineChars="200"/>
        <w:rPr>
          <w:rFonts w:ascii="Times New Roman" w:hAnsi="Times New Roman" w:eastAsia="仿宋_GB2312"/>
          <w:sz w:val="32"/>
          <w:szCs w:val="32"/>
        </w:rPr>
      </w:pPr>
      <w:r>
        <w:rPr>
          <w:rFonts w:ascii="Times New Roman" w:hAnsi="Times New Roman" w:eastAsia="仿宋_GB2312"/>
          <w:b/>
          <w:sz w:val="32"/>
          <w:szCs w:val="32"/>
        </w:rPr>
        <w:t>继续推进“四好农村路”建设</w:t>
      </w:r>
      <w:r>
        <w:rPr>
          <w:rFonts w:hint="eastAsia" w:ascii="Times New Roman" w:hAnsi="Times New Roman" w:eastAsia="仿宋_GB2312"/>
          <w:b/>
          <w:sz w:val="32"/>
          <w:szCs w:val="32"/>
        </w:rPr>
        <w:t>。</w:t>
      </w:r>
      <w:r>
        <w:rPr>
          <w:rFonts w:ascii="Times New Roman" w:hAnsi="Times New Roman" w:eastAsia="仿宋_GB2312"/>
          <w:sz w:val="32"/>
          <w:szCs w:val="32"/>
        </w:rPr>
        <w:t>实施农村公路扩面延伸300公里以上，完善农村公路网络体系，</w:t>
      </w:r>
      <w:r>
        <w:rPr>
          <w:rFonts w:hint="eastAsia" w:ascii="Times New Roman" w:hAnsi="Times New Roman" w:eastAsia="仿宋_GB2312"/>
          <w:sz w:val="32"/>
          <w:szCs w:val="32"/>
        </w:rPr>
        <w:t>谋划建设环嬉子湖大道，</w:t>
      </w:r>
      <w:r>
        <w:rPr>
          <w:rFonts w:ascii="Times New Roman" w:hAnsi="Times New Roman" w:eastAsia="仿宋_GB2312"/>
          <w:sz w:val="32"/>
          <w:szCs w:val="32"/>
        </w:rPr>
        <w:t>全面提升通达能力和安全保障水平。加快大关、青草交通综合服务站、东部新城公交停车场建设，推进城乡公交一体化，继续拓展镇村公交线路，实现行政村公交覆盖率90%以上。全面提升农村公路养护水平，健全农村公路灾毁应急响应机制。</w:t>
      </w:r>
    </w:p>
    <w:p w14:paraId="48DF54B8">
      <w:pPr>
        <w:ind w:firstLine="643" w:firstLineChars="200"/>
        <w:rPr>
          <w:rFonts w:ascii="Times New Roman" w:hAnsi="Times New Roman" w:eastAsia="仿宋_GB2312"/>
          <w:bCs/>
          <w:color w:val="000000"/>
          <w:sz w:val="32"/>
          <w:szCs w:val="32"/>
        </w:rPr>
      </w:pPr>
      <w:r>
        <w:rPr>
          <w:rFonts w:ascii="Times New Roman" w:hAnsi="Times New Roman" w:eastAsia="仿宋_GB2312"/>
          <w:b/>
          <w:sz w:val="32"/>
          <w:szCs w:val="32"/>
        </w:rPr>
        <w:t>加快航空和航道建设</w:t>
      </w:r>
      <w:r>
        <w:rPr>
          <w:rFonts w:hint="eastAsia" w:ascii="Times New Roman" w:hAnsi="Times New Roman" w:eastAsia="仿宋_GB2312"/>
          <w:b/>
          <w:sz w:val="32"/>
          <w:szCs w:val="32"/>
        </w:rPr>
        <w:t>。</w:t>
      </w:r>
      <w:r>
        <w:rPr>
          <w:rFonts w:ascii="Times New Roman" w:hAnsi="Times New Roman" w:eastAsia="仿宋_GB2312"/>
          <w:bCs/>
          <w:color w:val="000000"/>
          <w:sz w:val="32"/>
          <w:szCs w:val="32"/>
        </w:rPr>
        <w:t>加快祥跃通用机场、引江济淮桐城港区及内河航道等建设</w:t>
      </w:r>
      <w:r>
        <w:rPr>
          <w:rFonts w:hint="eastAsia" w:ascii="Times New Roman" w:hAnsi="Times New Roman" w:eastAsia="仿宋_GB2312"/>
          <w:bCs/>
          <w:color w:val="000000"/>
          <w:sz w:val="32"/>
          <w:szCs w:val="32"/>
        </w:rPr>
        <w:t>。</w:t>
      </w:r>
      <w:r>
        <w:rPr>
          <w:rFonts w:ascii="Times New Roman" w:hAnsi="Times New Roman" w:eastAsia="仿宋_GB2312"/>
          <w:bCs/>
          <w:color w:val="000000"/>
          <w:sz w:val="32"/>
          <w:szCs w:val="32"/>
        </w:rPr>
        <w:t>适时启动合肥新桥国际机场在</w:t>
      </w:r>
      <w:r>
        <w:rPr>
          <w:rFonts w:hint="eastAsia" w:ascii="Times New Roman" w:hAnsi="Times New Roman" w:eastAsia="仿宋_GB2312"/>
          <w:bCs/>
          <w:color w:val="000000"/>
          <w:sz w:val="32"/>
          <w:szCs w:val="32"/>
        </w:rPr>
        <w:t>我市</w:t>
      </w:r>
      <w:r>
        <w:rPr>
          <w:rFonts w:ascii="Times New Roman" w:hAnsi="Times New Roman" w:eastAsia="仿宋_GB2312"/>
          <w:bCs/>
          <w:color w:val="000000"/>
          <w:sz w:val="32"/>
          <w:szCs w:val="32"/>
        </w:rPr>
        <w:t>建设异地航站楼等项目前期工作。</w:t>
      </w:r>
    </w:p>
    <w:p w14:paraId="3DD6652B">
      <w:pPr>
        <w:tabs>
          <w:tab w:val="left" w:pos="1140"/>
          <w:tab w:val="center" w:pos="4153"/>
        </w:tabs>
        <w:spacing w:before="100" w:beforeAutospacing="1" w:after="100" w:afterAutospacing="1"/>
        <w:jc w:val="center"/>
        <w:outlineLvl w:val="1"/>
        <w:rPr>
          <w:rFonts w:ascii="Times New Roman" w:hAnsi="Times New Roman" w:eastAsia="黑体"/>
          <w:sz w:val="32"/>
          <w:szCs w:val="32"/>
        </w:rPr>
      </w:pPr>
      <w:bookmarkStart w:id="79" w:name="_Toc6711"/>
      <w:r>
        <w:rPr>
          <w:rFonts w:ascii="Times New Roman" w:hAnsi="Times New Roman" w:eastAsia="黑体"/>
          <w:sz w:val="32"/>
          <w:szCs w:val="32"/>
        </w:rPr>
        <w:t>第三节</w:t>
      </w:r>
      <w:r>
        <w:rPr>
          <w:rFonts w:hint="eastAsia" w:ascii="Times New Roman" w:hAnsi="Times New Roman" w:eastAsia="黑体"/>
          <w:sz w:val="32"/>
          <w:szCs w:val="32"/>
          <w:lang w:val="en-US" w:eastAsia="zh-CN"/>
        </w:rPr>
        <w:t xml:space="preserve"> </w:t>
      </w:r>
      <w:r>
        <w:rPr>
          <w:rFonts w:hint="eastAsia" w:ascii="Times New Roman" w:hAnsi="Times New Roman" w:eastAsia="黑体"/>
          <w:sz w:val="32"/>
          <w:szCs w:val="32"/>
        </w:rPr>
        <w:t>构建现代水利基础设施体系</w:t>
      </w:r>
      <w:bookmarkEnd w:id="79"/>
    </w:p>
    <w:p w14:paraId="3A791D40">
      <w:pPr>
        <w:ind w:firstLine="640" w:firstLineChars="200"/>
      </w:pPr>
      <w:r>
        <w:rPr>
          <w:rFonts w:ascii="Times New Roman" w:hAnsi="Times New Roman" w:eastAsia="仿宋_GB2312"/>
          <w:bCs/>
          <w:color w:val="000000"/>
          <w:sz w:val="32"/>
          <w:szCs w:val="32"/>
        </w:rPr>
        <w:t>坚持“以防为主，防抗救相结合”，在河流湖泊安全、生态环境安全、城市防洪安全等方面谋划建设一批基础性、枢纽性重大项目。</w:t>
      </w:r>
      <w:r>
        <w:rPr>
          <w:rFonts w:hint="eastAsia" w:ascii="Times New Roman" w:hAnsi="Times New Roman" w:eastAsia="仿宋_GB2312"/>
          <w:bCs/>
          <w:color w:val="000000"/>
          <w:sz w:val="32"/>
          <w:szCs w:val="32"/>
        </w:rPr>
        <w:t>实施水利设施补短板工程，抢抓新一轮“一规四补”机遇，推进鲁谼山水</w:t>
      </w:r>
      <w:r>
        <w:rPr>
          <w:rFonts w:hint="eastAsia" w:ascii="仿宋_GB2312" w:hAnsi="仿宋_GB2312" w:eastAsia="仿宋_GB2312" w:cs="仿宋_GB2312"/>
          <w:bCs/>
          <w:color w:val="000000"/>
          <w:sz w:val="32"/>
          <w:szCs w:val="32"/>
        </w:rPr>
        <w:t>库、万亩圩堤加固、中小河流治理、灌区治理等重大项目建设，建设水利强市。</w:t>
      </w:r>
      <w:r>
        <w:rPr>
          <w:rFonts w:hint="eastAsia" w:ascii="Times New Roman" w:hAnsi="Times New Roman" w:eastAsia="仿宋_GB2312"/>
          <w:bCs/>
          <w:color w:val="000000"/>
          <w:sz w:val="32"/>
          <w:szCs w:val="32"/>
        </w:rPr>
        <w:t>加快</w:t>
      </w:r>
      <w:r>
        <w:rPr>
          <w:rFonts w:ascii="Times New Roman" w:hAnsi="Times New Roman" w:eastAsia="仿宋_GB2312"/>
          <w:bCs/>
          <w:color w:val="000000"/>
          <w:sz w:val="32"/>
          <w:szCs w:val="32"/>
        </w:rPr>
        <w:t>实施“引江济</w:t>
      </w:r>
      <w:r>
        <w:rPr>
          <w:rFonts w:hint="eastAsia" w:ascii="Times New Roman" w:hAnsi="Times New Roman" w:eastAsia="仿宋_GB2312"/>
          <w:bCs/>
          <w:color w:val="000000"/>
          <w:sz w:val="32"/>
          <w:szCs w:val="32"/>
          <w:lang w:val="en-US" w:eastAsia="zh-CN"/>
        </w:rPr>
        <w:t>淮</w:t>
      </w:r>
      <w:r>
        <w:rPr>
          <w:rFonts w:ascii="Times New Roman" w:hAnsi="Times New Roman" w:eastAsia="仿宋_GB2312"/>
          <w:bCs/>
          <w:color w:val="000000"/>
          <w:sz w:val="32"/>
          <w:szCs w:val="32"/>
        </w:rPr>
        <w:t>”菜子湖引水线路工程，推进双（港）新（渡）片排涝工程</w:t>
      </w:r>
      <w:r>
        <w:rPr>
          <w:rFonts w:hint="eastAsia" w:ascii="Times New Roman" w:hAnsi="Times New Roman" w:eastAsia="仿宋_GB2312"/>
          <w:bCs/>
          <w:color w:val="000000"/>
          <w:sz w:val="32"/>
          <w:szCs w:val="32"/>
        </w:rPr>
        <w:t>、</w:t>
      </w:r>
      <w:r>
        <w:rPr>
          <w:rFonts w:ascii="Times New Roman" w:hAnsi="Times New Roman" w:eastAsia="仿宋_GB2312"/>
          <w:bCs/>
          <w:color w:val="000000"/>
          <w:sz w:val="32"/>
          <w:szCs w:val="32"/>
        </w:rPr>
        <w:t>大沙河</w:t>
      </w:r>
      <w:r>
        <w:rPr>
          <w:rFonts w:hint="eastAsia" w:ascii="Times New Roman" w:hAnsi="Times New Roman" w:eastAsia="仿宋_GB2312"/>
          <w:bCs/>
          <w:color w:val="000000"/>
          <w:sz w:val="32"/>
          <w:szCs w:val="32"/>
        </w:rPr>
        <w:t>综合</w:t>
      </w:r>
      <w:r>
        <w:rPr>
          <w:rFonts w:ascii="Times New Roman" w:hAnsi="Times New Roman" w:eastAsia="仿宋_GB2312"/>
          <w:bCs/>
          <w:color w:val="000000"/>
          <w:sz w:val="32"/>
          <w:szCs w:val="32"/>
        </w:rPr>
        <w:t>治理工程、牯牛背水库灌区节水改造工程建设</w:t>
      </w:r>
      <w:r>
        <w:rPr>
          <w:rFonts w:hint="eastAsia" w:ascii="Times New Roman" w:hAnsi="Times New Roman" w:eastAsia="仿宋_GB2312"/>
          <w:bCs/>
          <w:color w:val="000000"/>
          <w:sz w:val="32"/>
          <w:szCs w:val="32"/>
          <w:lang w:eastAsia="zh-CN"/>
        </w:rPr>
        <w:t>，</w:t>
      </w:r>
      <w:r>
        <w:rPr>
          <w:rFonts w:hint="eastAsia" w:ascii="Times New Roman" w:hAnsi="Times New Roman" w:eastAsia="仿宋_GB2312"/>
          <w:bCs/>
          <w:color w:val="000000"/>
          <w:sz w:val="32"/>
          <w:szCs w:val="32"/>
        </w:rPr>
        <w:t>全面完成防汛抗旱水利提升工程。</w:t>
      </w:r>
      <w:r>
        <w:rPr>
          <w:rFonts w:hint="eastAsia" w:ascii="仿宋_GB2312" w:hAnsi="仿宋_GB2312" w:eastAsia="仿宋_GB2312" w:cs="仿宋_GB2312"/>
          <w:bCs/>
          <w:color w:val="000000"/>
          <w:sz w:val="32"/>
          <w:szCs w:val="32"/>
        </w:rPr>
        <w:t>做好圩区人口控制和有序搬迁工作。加快城乡供水管网和</w:t>
      </w:r>
      <w:r>
        <w:rPr>
          <w:rFonts w:ascii="Times New Roman" w:hAnsi="Times New Roman" w:eastAsia="仿宋_GB2312"/>
          <w:bCs/>
          <w:color w:val="000000"/>
          <w:sz w:val="32"/>
          <w:szCs w:val="32"/>
        </w:rPr>
        <w:t>桐城市备用水源</w:t>
      </w:r>
      <w:r>
        <w:rPr>
          <w:rFonts w:hint="eastAsia" w:ascii="仿宋_GB2312" w:hAnsi="仿宋_GB2312" w:eastAsia="仿宋_GB2312" w:cs="仿宋_GB2312"/>
          <w:bCs/>
          <w:color w:val="000000"/>
          <w:sz w:val="32"/>
          <w:szCs w:val="32"/>
        </w:rPr>
        <w:t>建设，推进城乡供水一体化。</w:t>
      </w:r>
    </w:p>
    <w:p w14:paraId="1E40514C">
      <w:pPr>
        <w:tabs>
          <w:tab w:val="left" w:pos="1140"/>
          <w:tab w:val="center" w:pos="4153"/>
        </w:tabs>
        <w:spacing w:before="100" w:beforeAutospacing="1" w:after="100" w:afterAutospacing="1"/>
        <w:jc w:val="center"/>
        <w:outlineLvl w:val="1"/>
        <w:rPr>
          <w:rFonts w:ascii="Times New Roman" w:hAnsi="Times New Roman" w:eastAsia="黑体"/>
          <w:sz w:val="32"/>
          <w:szCs w:val="32"/>
        </w:rPr>
      </w:pPr>
      <w:bookmarkStart w:id="80" w:name="_Toc29386"/>
      <w:r>
        <w:rPr>
          <w:rFonts w:ascii="Times New Roman" w:hAnsi="Times New Roman" w:eastAsia="黑体"/>
          <w:sz w:val="32"/>
          <w:szCs w:val="32"/>
        </w:rPr>
        <w:t>第四节</w:t>
      </w:r>
      <w:r>
        <w:rPr>
          <w:rFonts w:hint="eastAsia" w:ascii="Times New Roman" w:hAnsi="Times New Roman" w:eastAsia="黑体"/>
          <w:sz w:val="32"/>
          <w:szCs w:val="32"/>
          <w:lang w:val="en-US" w:eastAsia="zh-CN"/>
        </w:rPr>
        <w:t xml:space="preserve"> </w:t>
      </w:r>
      <w:r>
        <w:rPr>
          <w:rFonts w:hint="eastAsia" w:ascii="Times New Roman" w:hAnsi="Times New Roman" w:eastAsia="黑体"/>
          <w:sz w:val="32"/>
          <w:szCs w:val="32"/>
        </w:rPr>
        <w:t>加快现代能源基础设施建设</w:t>
      </w:r>
      <w:bookmarkEnd w:id="80"/>
    </w:p>
    <w:p w14:paraId="7D29D114">
      <w:pPr>
        <w:ind w:firstLine="640" w:firstLineChars="200"/>
      </w:pPr>
      <w:r>
        <w:rPr>
          <w:rFonts w:ascii="Times New Roman" w:hAnsi="Times New Roman" w:eastAsia="仿宋_GB2312"/>
          <w:bCs/>
          <w:sz w:val="32"/>
          <w:szCs w:val="40"/>
        </w:rPr>
        <w:t>加快融入长三角能源保障体系，增强油气供应保障能力。推动天然气桐城—枞阳支线建设，推进孔城阀室等相应配套设施建设，布局应急储气调峰设施，</w:t>
      </w:r>
      <w:r>
        <w:rPr>
          <w:rFonts w:hint="eastAsia" w:ascii="Times New Roman" w:hAnsi="Times New Roman" w:eastAsia="仿宋_GB2312"/>
          <w:bCs/>
          <w:sz w:val="32"/>
          <w:szCs w:val="40"/>
        </w:rPr>
        <w:t>促进</w:t>
      </w:r>
      <w:r>
        <w:rPr>
          <w:rFonts w:ascii="Times New Roman" w:hAnsi="Times New Roman" w:eastAsia="仿宋_GB2312"/>
          <w:bCs/>
          <w:sz w:val="32"/>
          <w:szCs w:val="40"/>
        </w:rPr>
        <w:t>天然气管网合理布局。加快绿色能源发展，推进桐城抽水蓄能电站、秸秆综合能源利用等项目建设</w:t>
      </w:r>
      <w:r>
        <w:rPr>
          <w:rFonts w:hint="eastAsia" w:ascii="Times New Roman" w:hAnsi="Times New Roman" w:eastAsia="仿宋_GB2312"/>
          <w:bCs/>
          <w:sz w:val="32"/>
          <w:szCs w:val="40"/>
          <w:lang w:eastAsia="zh-CN"/>
        </w:rPr>
        <w:t>，</w:t>
      </w:r>
      <w:r>
        <w:rPr>
          <w:rFonts w:hint="eastAsia" w:ascii="Times New Roman" w:hAnsi="Times New Roman" w:eastAsia="仿宋_GB2312"/>
          <w:bCs/>
          <w:sz w:val="32"/>
          <w:szCs w:val="40"/>
          <w:lang w:val="en-US" w:eastAsia="zh-CN"/>
        </w:rPr>
        <w:t>推进桐城抽水蓄能电站（唐湾站点）、屋顶分布式光伏整县（市）推进开发试点等项目前期工作</w:t>
      </w:r>
      <w:r>
        <w:rPr>
          <w:rFonts w:ascii="Times New Roman" w:hAnsi="Times New Roman" w:eastAsia="仿宋_GB2312"/>
          <w:bCs/>
          <w:sz w:val="32"/>
          <w:szCs w:val="40"/>
        </w:rPr>
        <w:t>。</w:t>
      </w:r>
      <w:r>
        <w:rPr>
          <w:rFonts w:hint="eastAsia" w:ascii="Times New Roman" w:hAnsi="Times New Roman" w:eastAsia="仿宋_GB2312"/>
          <w:bCs/>
          <w:sz w:val="32"/>
          <w:szCs w:val="40"/>
        </w:rPr>
        <w:t>加快推进城北、龙河变电站等供电基础设施建设，同步提升电网保障能力，强化开发园区等重点区域用电保障。</w:t>
      </w:r>
      <w:r>
        <w:rPr>
          <w:rFonts w:ascii="Times New Roman" w:hAnsi="Times New Roman" w:eastAsia="仿宋_GB2312"/>
          <w:bCs/>
          <w:sz w:val="32"/>
          <w:szCs w:val="40"/>
        </w:rPr>
        <w:t>加快新一轮农村电网改造升级，优化农村能源供给结构，有效提升农村地区的能源供应保障能力。</w:t>
      </w:r>
    </w:p>
    <w:tbl>
      <w:tblPr>
        <w:tblStyle w:val="38"/>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22"/>
      </w:tblGrid>
      <w:tr w14:paraId="531D3E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Pr>
          <w:p w14:paraId="7360EB97">
            <w:pPr>
              <w:tabs>
                <w:tab w:val="left" w:pos="540"/>
              </w:tabs>
              <w:snapToGrid w:val="0"/>
              <w:spacing w:line="360" w:lineRule="auto"/>
              <w:jc w:val="center"/>
              <w:rPr>
                <w:rFonts w:ascii="楷体" w:hAnsi="楷体" w:eastAsia="楷体" w:cs="仿宋_GB2312"/>
                <w:b/>
                <w:sz w:val="30"/>
                <w:szCs w:val="30"/>
                <w:lang w:val="zh-CN"/>
              </w:rPr>
            </w:pPr>
            <w:r>
              <w:rPr>
                <w:rFonts w:ascii="楷体" w:hAnsi="楷体" w:eastAsia="楷体" w:cs="仿宋_GB2312"/>
                <w:b/>
                <w:sz w:val="30"/>
                <w:szCs w:val="30"/>
                <w:lang w:val="zh-CN"/>
              </w:rPr>
              <w:t>专栏</w:t>
            </w:r>
            <w:r>
              <w:rPr>
                <w:rFonts w:hint="eastAsia" w:ascii="楷体" w:hAnsi="楷体" w:eastAsia="楷体" w:cs="仿宋_GB2312"/>
                <w:b/>
                <w:sz w:val="30"/>
                <w:szCs w:val="30"/>
                <w:lang w:val="zh-CN"/>
              </w:rPr>
              <w:t>1</w:t>
            </w:r>
            <w:r>
              <w:rPr>
                <w:rFonts w:hint="eastAsia" w:ascii="楷体" w:hAnsi="楷体" w:eastAsia="楷体" w:cs="仿宋_GB2312"/>
                <w:b/>
                <w:sz w:val="30"/>
                <w:szCs w:val="30"/>
                <w:lang w:val="en-US" w:eastAsia="zh-CN"/>
              </w:rPr>
              <w:t>5</w:t>
            </w:r>
            <w:r>
              <w:rPr>
                <w:rFonts w:hint="eastAsia" w:ascii="楷体" w:hAnsi="楷体" w:eastAsia="楷体" w:cs="仿宋_GB2312"/>
                <w:b/>
                <w:sz w:val="30"/>
                <w:szCs w:val="30"/>
                <w:lang w:val="zh-CN"/>
              </w:rPr>
              <w:t>：基础</w:t>
            </w:r>
            <w:r>
              <w:rPr>
                <w:rFonts w:ascii="楷体" w:hAnsi="楷体" w:eastAsia="楷体" w:cs="仿宋_GB2312"/>
                <w:b/>
                <w:sz w:val="30"/>
                <w:szCs w:val="30"/>
                <w:lang w:val="zh-CN"/>
              </w:rPr>
              <w:t>设施建设重大项目</w:t>
            </w:r>
          </w:p>
          <w:p w14:paraId="607D061B">
            <w:pPr>
              <w:spacing w:line="400" w:lineRule="exact"/>
              <w:ind w:firstLine="562" w:firstLineChars="200"/>
              <w:rPr>
                <w:rFonts w:hint="eastAsia" w:ascii="仿宋_GB2312" w:eastAsia="仿宋_GB2312"/>
                <w:color w:val="000000" w:themeColor="text1"/>
                <w:sz w:val="28"/>
                <w:szCs w:val="28"/>
                <w:lang w:eastAsia="zh-CN"/>
              </w:rPr>
            </w:pPr>
            <w:r>
              <w:rPr>
                <w:rFonts w:hint="eastAsia" w:ascii="仿宋_GB2312" w:eastAsia="仿宋_GB2312"/>
                <w:b/>
                <w:color w:val="000000" w:themeColor="text1"/>
                <w:sz w:val="28"/>
                <w:szCs w:val="28"/>
              </w:rPr>
              <w:t>综合交通网络。</w:t>
            </w:r>
            <w:r>
              <w:rPr>
                <w:rFonts w:hint="eastAsia" w:ascii="仿宋_GB2312" w:eastAsia="仿宋_GB2312"/>
                <w:color w:val="000000" w:themeColor="text1"/>
                <w:sz w:val="28"/>
                <w:szCs w:val="28"/>
                <w:lang w:val="en-US" w:eastAsia="zh-CN"/>
              </w:rPr>
              <w:t>推进建设</w:t>
            </w:r>
            <w:r>
              <w:rPr>
                <w:rFonts w:hint="eastAsia" w:ascii="仿宋_GB2312" w:eastAsia="仿宋_GB2312"/>
                <w:color w:val="000000" w:themeColor="text1"/>
                <w:sz w:val="28"/>
                <w:szCs w:val="28"/>
              </w:rPr>
              <w:t>德上高速桐城段、无岳高速桐城段、通用机场、G237桐城段一级公路改建工程、S231庐江至桐城段公路工程</w:t>
            </w:r>
            <w:r>
              <w:rPr>
                <w:rFonts w:hint="eastAsia" w:ascii="仿宋_GB2312" w:eastAsia="仿宋_GB2312"/>
                <w:color w:val="000000" w:themeColor="text1"/>
                <w:sz w:val="28"/>
                <w:szCs w:val="28"/>
                <w:lang w:eastAsia="zh-CN"/>
              </w:rPr>
              <w:t>、</w:t>
            </w:r>
            <w:r>
              <w:rPr>
                <w:rFonts w:hint="eastAsia" w:ascii="仿宋_GB2312" w:eastAsia="仿宋_GB2312"/>
                <w:color w:val="000000" w:themeColor="text1"/>
                <w:sz w:val="28"/>
                <w:szCs w:val="28"/>
              </w:rPr>
              <w:t>S231嬉子湖镇经金神至范岗连接线（嬉子湖至金神段）、嬉子湖环岛景观道、抽水蓄能电站沿库公路延长线</w:t>
            </w:r>
            <w:r>
              <w:rPr>
                <w:rFonts w:hint="eastAsia" w:ascii="仿宋_GB2312" w:eastAsia="仿宋_GB2312"/>
                <w:color w:val="000000" w:themeColor="text1"/>
                <w:sz w:val="28"/>
                <w:szCs w:val="28"/>
                <w:lang w:eastAsia="zh-CN"/>
              </w:rPr>
              <w:t>；</w:t>
            </w:r>
            <w:r>
              <w:rPr>
                <w:rFonts w:hint="eastAsia" w:ascii="仿宋_GB2312" w:eastAsia="仿宋_GB2312"/>
                <w:color w:val="000000" w:themeColor="text1"/>
                <w:sz w:val="28"/>
                <w:szCs w:val="28"/>
                <w:lang w:val="en-US" w:eastAsia="zh-CN"/>
              </w:rPr>
              <w:t>继续实施农村道路扩面延伸工程；开展</w:t>
            </w:r>
            <w:r>
              <w:rPr>
                <w:rFonts w:hint="eastAsia" w:ascii="仿宋_GB2312" w:eastAsia="仿宋_GB2312"/>
                <w:color w:val="000000" w:themeColor="text1"/>
                <w:sz w:val="28"/>
                <w:szCs w:val="28"/>
              </w:rPr>
              <w:t>合肥—舒城-桐城、合肥—庐江-桐城</w:t>
            </w:r>
            <w:r>
              <w:rPr>
                <w:rFonts w:hint="eastAsia" w:ascii="仿宋_GB2312" w:eastAsia="仿宋_GB2312"/>
                <w:color w:val="000000" w:themeColor="text1"/>
                <w:sz w:val="28"/>
                <w:szCs w:val="28"/>
                <w:lang w:val="en-US" w:eastAsia="zh-CN"/>
              </w:rPr>
              <w:t>等</w:t>
            </w:r>
            <w:r>
              <w:rPr>
                <w:rFonts w:hint="eastAsia" w:ascii="仿宋_GB2312" w:eastAsia="仿宋_GB2312"/>
                <w:color w:val="000000" w:themeColor="text1"/>
                <w:sz w:val="28"/>
                <w:szCs w:val="28"/>
              </w:rPr>
              <w:t>轨道交通</w:t>
            </w:r>
            <w:r>
              <w:rPr>
                <w:rFonts w:hint="eastAsia" w:ascii="仿宋_GB2312" w:eastAsia="仿宋_GB2312"/>
                <w:color w:val="000000" w:themeColor="text1"/>
                <w:sz w:val="28"/>
                <w:szCs w:val="28"/>
                <w:lang w:val="en-US" w:eastAsia="zh-CN"/>
              </w:rPr>
              <w:t>项目前期研究工作</w:t>
            </w:r>
            <w:r>
              <w:rPr>
                <w:rFonts w:hint="eastAsia" w:ascii="仿宋_GB2312" w:eastAsia="仿宋_GB2312"/>
                <w:color w:val="000000" w:themeColor="text1"/>
                <w:sz w:val="28"/>
                <w:szCs w:val="28"/>
                <w:lang w:eastAsia="zh-CN"/>
              </w:rPr>
              <w:t>。</w:t>
            </w:r>
          </w:p>
          <w:p w14:paraId="73D9B73C">
            <w:pPr>
              <w:spacing w:line="400" w:lineRule="exact"/>
              <w:ind w:firstLine="562" w:firstLineChars="200"/>
              <w:rPr>
                <w:rFonts w:hint="eastAsia" w:ascii="仿宋_GB2312" w:eastAsia="仿宋_GB2312"/>
                <w:color w:val="000000" w:themeColor="text1"/>
                <w:sz w:val="28"/>
                <w:szCs w:val="28"/>
                <w:lang w:eastAsia="zh-CN"/>
              </w:rPr>
            </w:pPr>
            <w:r>
              <w:rPr>
                <w:rFonts w:hint="eastAsia" w:ascii="仿宋_GB2312" w:eastAsia="仿宋_GB2312"/>
                <w:b/>
                <w:color w:val="000000" w:themeColor="text1"/>
                <w:sz w:val="28"/>
                <w:szCs w:val="28"/>
              </w:rPr>
              <w:t>水利基础设施。</w:t>
            </w:r>
            <w:r>
              <w:rPr>
                <w:rFonts w:hint="eastAsia" w:ascii="仿宋_GB2312" w:eastAsia="仿宋_GB2312"/>
                <w:color w:val="000000" w:themeColor="text1"/>
                <w:sz w:val="28"/>
                <w:szCs w:val="28"/>
                <w:lang w:val="en-US" w:eastAsia="zh-CN"/>
              </w:rPr>
              <w:t>推进</w:t>
            </w:r>
            <w:r>
              <w:rPr>
                <w:rFonts w:hint="eastAsia" w:ascii="仿宋_GB2312" w:eastAsia="仿宋_GB2312"/>
                <w:color w:val="000000" w:themeColor="text1"/>
                <w:sz w:val="28"/>
                <w:szCs w:val="28"/>
              </w:rPr>
              <w:t>鲁谼</w:t>
            </w:r>
            <w:r>
              <w:rPr>
                <w:rFonts w:hint="eastAsia" w:ascii="仿宋_GB2312" w:hAnsi="仿宋_GB2312" w:eastAsia="仿宋_GB2312" w:cs="仿宋_GB2312"/>
                <w:color w:val="000000" w:themeColor="text1"/>
                <w:sz w:val="28"/>
                <w:szCs w:val="28"/>
              </w:rPr>
              <w:t>山水库、</w:t>
            </w:r>
            <w:r>
              <w:rPr>
                <w:rFonts w:hint="eastAsia" w:ascii="仿宋_GB2312" w:eastAsia="仿宋_GB2312"/>
                <w:color w:val="000000" w:themeColor="text1"/>
                <w:sz w:val="28"/>
                <w:szCs w:val="28"/>
              </w:rPr>
              <w:t>龙眠河综合治理、大沙河治理、桐城市城乡供水一体化</w:t>
            </w:r>
            <w:r>
              <w:rPr>
                <w:rFonts w:hint="eastAsia" w:ascii="仿宋_GB2312" w:eastAsia="仿宋_GB2312"/>
                <w:color w:val="000000" w:themeColor="text1"/>
                <w:sz w:val="28"/>
                <w:szCs w:val="28"/>
                <w:lang w:eastAsia="zh-CN"/>
              </w:rPr>
              <w:t>、</w:t>
            </w:r>
            <w:r>
              <w:rPr>
                <w:rFonts w:hint="eastAsia" w:ascii="仿宋_GB2312" w:eastAsia="仿宋_GB2312"/>
                <w:color w:val="000000" w:themeColor="text1"/>
                <w:sz w:val="28"/>
                <w:szCs w:val="28"/>
                <w:lang w:val="en-US" w:eastAsia="zh-CN"/>
              </w:rPr>
              <w:t>圩区移民安置等项目实施；继续实施</w:t>
            </w:r>
            <w:r>
              <w:rPr>
                <w:rFonts w:hint="eastAsia" w:ascii="仿宋_GB2312" w:eastAsia="仿宋_GB2312"/>
                <w:color w:val="000000" w:themeColor="text1"/>
                <w:sz w:val="28"/>
                <w:szCs w:val="28"/>
              </w:rPr>
              <w:t>防汛抗旱水利提升工程</w:t>
            </w:r>
            <w:r>
              <w:rPr>
                <w:rFonts w:hint="eastAsia" w:ascii="仿宋_GB2312" w:eastAsia="仿宋_GB2312"/>
                <w:color w:val="000000" w:themeColor="text1"/>
                <w:sz w:val="28"/>
                <w:szCs w:val="28"/>
                <w:lang w:val="en-US" w:eastAsia="zh-CN"/>
              </w:rPr>
              <w:t>、</w:t>
            </w:r>
            <w:r>
              <w:rPr>
                <w:rFonts w:hint="eastAsia" w:ascii="仿宋_GB2312" w:eastAsia="仿宋_GB2312"/>
                <w:color w:val="000000" w:themeColor="text1"/>
                <w:sz w:val="28"/>
                <w:szCs w:val="28"/>
              </w:rPr>
              <w:t>灌区节水改造</w:t>
            </w:r>
            <w:r>
              <w:rPr>
                <w:rFonts w:hint="eastAsia" w:ascii="仿宋_GB2312" w:eastAsia="仿宋_GB2312"/>
                <w:color w:val="000000" w:themeColor="text1"/>
                <w:sz w:val="28"/>
                <w:szCs w:val="28"/>
                <w:lang w:eastAsia="zh-CN"/>
              </w:rPr>
              <w:t>、</w:t>
            </w:r>
            <w:r>
              <w:rPr>
                <w:rFonts w:hint="eastAsia" w:ascii="仿宋_GB2312" w:eastAsia="仿宋_GB2312"/>
                <w:color w:val="000000" w:themeColor="text1"/>
                <w:sz w:val="28"/>
                <w:szCs w:val="28"/>
                <w:lang w:val="en-US" w:eastAsia="zh-CN"/>
              </w:rPr>
              <w:t>中小河流治理工程和菜子湖流域水环境治理工程，争创</w:t>
            </w:r>
            <w:r>
              <w:rPr>
                <w:rFonts w:hint="eastAsia" w:ascii="仿宋_GB2312" w:eastAsia="仿宋_GB2312"/>
                <w:color w:val="000000" w:themeColor="text1"/>
                <w:sz w:val="28"/>
                <w:szCs w:val="28"/>
              </w:rPr>
              <w:t>水系治理示范</w:t>
            </w:r>
            <w:r>
              <w:rPr>
                <w:rFonts w:hint="eastAsia" w:ascii="仿宋_GB2312" w:eastAsia="仿宋_GB2312"/>
                <w:color w:val="000000" w:themeColor="text1"/>
                <w:sz w:val="28"/>
                <w:szCs w:val="28"/>
                <w:lang w:val="en-US" w:eastAsia="zh-CN"/>
              </w:rPr>
              <w:t>县。</w:t>
            </w:r>
          </w:p>
          <w:p w14:paraId="68A57C34">
            <w:pPr>
              <w:spacing w:line="400" w:lineRule="exact"/>
              <w:ind w:firstLine="562" w:firstLineChars="200"/>
              <w:rPr>
                <w:rFonts w:hint="eastAsia" w:ascii="Times New Roman" w:hAnsi="Times New Roman" w:eastAsia="仿宋_GB2312"/>
                <w:bCs/>
                <w:sz w:val="28"/>
                <w:szCs w:val="28"/>
                <w:lang w:eastAsia="zh-CN"/>
              </w:rPr>
            </w:pPr>
            <w:r>
              <w:rPr>
                <w:rFonts w:hint="eastAsia" w:ascii="仿宋_GB2312" w:eastAsia="仿宋_GB2312"/>
                <w:b/>
                <w:color w:val="000000" w:themeColor="text1"/>
                <w:sz w:val="28"/>
                <w:szCs w:val="28"/>
              </w:rPr>
              <w:t>能源基础设施。</w:t>
            </w:r>
            <w:r>
              <w:rPr>
                <w:rFonts w:hint="eastAsia" w:ascii="仿宋_GB2312" w:eastAsia="仿宋_GB2312"/>
                <w:color w:val="000000" w:themeColor="text1"/>
                <w:sz w:val="28"/>
                <w:szCs w:val="28"/>
                <w:lang w:val="en-US" w:eastAsia="zh-CN"/>
              </w:rPr>
              <w:t>推进建设</w:t>
            </w:r>
            <w:r>
              <w:rPr>
                <w:rFonts w:hint="eastAsia" w:ascii="仿宋_GB2312" w:eastAsia="仿宋_GB2312"/>
                <w:color w:val="000000" w:themeColor="text1"/>
                <w:sz w:val="28"/>
                <w:szCs w:val="28"/>
              </w:rPr>
              <w:t>桐城抽水蓄能电站、中国燃气桐城经开区园区分布式能源和暖居工程、桐城配电网35kV及以下输变配电工程、110kV龙河输变电工程</w:t>
            </w:r>
            <w:r>
              <w:rPr>
                <w:rFonts w:hint="eastAsia" w:ascii="仿宋_GB2312" w:eastAsia="仿宋_GB2312"/>
                <w:color w:val="000000" w:themeColor="text1"/>
                <w:sz w:val="28"/>
                <w:szCs w:val="28"/>
                <w:lang w:eastAsia="zh-CN"/>
              </w:rPr>
              <w:t>、</w:t>
            </w:r>
            <w:r>
              <w:rPr>
                <w:rFonts w:hint="eastAsia" w:ascii="仿宋_GB2312" w:eastAsia="仿宋_GB2312"/>
                <w:color w:val="000000" w:themeColor="text1"/>
                <w:sz w:val="28"/>
                <w:szCs w:val="28"/>
              </w:rPr>
              <w:t>220kV城北输变电工程</w:t>
            </w:r>
            <w:r>
              <w:rPr>
                <w:rFonts w:hint="eastAsia" w:ascii="仿宋_GB2312" w:eastAsia="仿宋_GB2312"/>
                <w:color w:val="000000" w:themeColor="text1"/>
                <w:sz w:val="28"/>
                <w:szCs w:val="28"/>
                <w:lang w:eastAsia="zh-CN"/>
              </w:rPr>
              <w:t>；</w:t>
            </w:r>
            <w:r>
              <w:rPr>
                <w:rFonts w:hint="eastAsia" w:ascii="仿宋_GB2312" w:eastAsia="仿宋_GB2312"/>
                <w:color w:val="000000" w:themeColor="text1"/>
                <w:sz w:val="28"/>
                <w:szCs w:val="28"/>
              </w:rPr>
              <w:t>新建110kV白马输变电工程、220kV雷坂输变电工程、110kV青草输变电工程、110kV大关输变电工程、桐城市燃气储气设施和燃气管网改造与建设工程</w:t>
            </w:r>
            <w:r>
              <w:rPr>
                <w:rFonts w:hint="eastAsia" w:ascii="仿宋_GB2312" w:eastAsia="仿宋_GB2312"/>
                <w:color w:val="000000" w:themeColor="text1"/>
                <w:sz w:val="28"/>
                <w:szCs w:val="28"/>
                <w:lang w:eastAsia="zh-CN"/>
              </w:rPr>
              <w:t>。</w:t>
            </w:r>
          </w:p>
        </w:tc>
      </w:tr>
    </w:tbl>
    <w:p w14:paraId="174F56E4">
      <w:pPr>
        <w:widowControl/>
        <w:jc w:val="left"/>
        <w:rPr>
          <w:rFonts w:ascii="Times New Roman" w:hAnsi="Times New Roman" w:eastAsia="黑体"/>
          <w:bCs/>
          <w:color w:val="000000"/>
          <w:kern w:val="0"/>
          <w:sz w:val="28"/>
          <w:szCs w:val="28"/>
          <w:highlight w:val="yellow"/>
        </w:rPr>
      </w:pPr>
    </w:p>
    <w:p w14:paraId="6FF74DA5">
      <w:pPr>
        <w:pStyle w:val="2"/>
        <w:rPr>
          <w:rFonts w:ascii="Times New Roman" w:hAnsi="Times New Roman" w:eastAsia="黑体"/>
          <w:bCs/>
          <w:color w:val="000000"/>
          <w:kern w:val="0"/>
          <w:sz w:val="28"/>
          <w:szCs w:val="28"/>
          <w:highlight w:val="yellow"/>
        </w:rPr>
      </w:pPr>
    </w:p>
    <w:p w14:paraId="4A3544AC">
      <w:pPr>
        <w:rPr>
          <w:rFonts w:ascii="Times New Roman" w:hAnsi="Times New Roman" w:eastAsia="黑体"/>
          <w:bCs/>
          <w:color w:val="000000"/>
          <w:kern w:val="0"/>
          <w:sz w:val="28"/>
          <w:szCs w:val="28"/>
          <w:highlight w:val="yellow"/>
        </w:rPr>
      </w:pPr>
    </w:p>
    <w:p w14:paraId="0BF049BD">
      <w:pPr>
        <w:pStyle w:val="2"/>
        <w:rPr>
          <w:rFonts w:ascii="Times New Roman" w:hAnsi="Times New Roman" w:eastAsia="黑体"/>
          <w:bCs/>
          <w:color w:val="000000"/>
          <w:kern w:val="0"/>
          <w:sz w:val="28"/>
          <w:szCs w:val="28"/>
          <w:highlight w:val="yellow"/>
        </w:rPr>
      </w:pPr>
    </w:p>
    <w:p w14:paraId="12664FFF">
      <w:pPr>
        <w:rPr>
          <w:rFonts w:ascii="Times New Roman" w:hAnsi="Times New Roman" w:eastAsia="黑体"/>
          <w:bCs/>
          <w:color w:val="000000"/>
          <w:kern w:val="0"/>
          <w:sz w:val="28"/>
          <w:szCs w:val="28"/>
          <w:highlight w:val="yellow"/>
        </w:rPr>
      </w:pPr>
    </w:p>
    <w:p w14:paraId="1C64728E">
      <w:pPr>
        <w:pStyle w:val="2"/>
        <w:rPr>
          <w:rFonts w:ascii="Times New Roman" w:hAnsi="Times New Roman" w:eastAsia="黑体"/>
          <w:bCs/>
          <w:color w:val="000000"/>
          <w:kern w:val="0"/>
          <w:sz w:val="28"/>
          <w:szCs w:val="28"/>
          <w:highlight w:val="yellow"/>
        </w:rPr>
      </w:pPr>
    </w:p>
    <w:p w14:paraId="294BDA8E">
      <w:pPr>
        <w:rPr>
          <w:rFonts w:ascii="Times New Roman" w:hAnsi="Times New Roman" w:eastAsia="黑体"/>
          <w:bCs/>
          <w:color w:val="000000"/>
          <w:kern w:val="0"/>
          <w:sz w:val="28"/>
          <w:szCs w:val="28"/>
          <w:highlight w:val="yellow"/>
        </w:rPr>
      </w:pPr>
    </w:p>
    <w:p w14:paraId="6220A938">
      <w:pPr>
        <w:pStyle w:val="2"/>
        <w:rPr>
          <w:rFonts w:ascii="Times New Roman" w:hAnsi="Times New Roman" w:eastAsia="黑体"/>
          <w:bCs/>
          <w:color w:val="000000"/>
          <w:kern w:val="0"/>
          <w:sz w:val="28"/>
          <w:szCs w:val="28"/>
          <w:highlight w:val="yellow"/>
        </w:rPr>
      </w:pPr>
    </w:p>
    <w:p w14:paraId="145AA7CD">
      <w:pPr>
        <w:rPr>
          <w:rFonts w:ascii="Times New Roman" w:hAnsi="Times New Roman" w:eastAsia="黑体"/>
          <w:bCs/>
          <w:color w:val="000000"/>
          <w:kern w:val="0"/>
          <w:sz w:val="28"/>
          <w:szCs w:val="28"/>
          <w:highlight w:val="yellow"/>
        </w:rPr>
      </w:pPr>
    </w:p>
    <w:p w14:paraId="14D9E621">
      <w:pPr>
        <w:pStyle w:val="2"/>
        <w:jc w:val="both"/>
      </w:pPr>
    </w:p>
    <w:p w14:paraId="4F64E2FE">
      <w:pPr>
        <w:pStyle w:val="3"/>
        <w:spacing w:before="100" w:beforeAutospacing="1" w:after="100" w:afterAutospacing="1"/>
        <w:jc w:val="center"/>
        <w:rPr>
          <w:rFonts w:eastAsia="方正小标宋简体"/>
        </w:rPr>
      </w:pPr>
      <w:bookmarkStart w:id="81" w:name="_Toc1513"/>
      <w:r>
        <w:rPr>
          <w:rFonts w:hint="eastAsia" w:eastAsia="方正小标宋简体"/>
        </w:rPr>
        <w:t>突出生态优先，全面提升绿色发展水平</w:t>
      </w:r>
      <w:bookmarkEnd w:id="81"/>
    </w:p>
    <w:p w14:paraId="4F2D9B7C">
      <w:pPr>
        <w:spacing w:line="6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坚持</w:t>
      </w:r>
      <w:r>
        <w:rPr>
          <w:rFonts w:ascii="Times New Roman" w:hAnsi="Times New Roman" w:eastAsia="仿宋_GB2312"/>
          <w:sz w:val="32"/>
          <w:szCs w:val="32"/>
        </w:rPr>
        <w:t>绿水青山就是金山银山理念，</w:t>
      </w:r>
      <w:r>
        <w:rPr>
          <w:rFonts w:hint="eastAsia" w:ascii="Times New Roman" w:hAnsi="Times New Roman" w:eastAsia="仿宋_GB2312"/>
          <w:sz w:val="32"/>
          <w:szCs w:val="32"/>
        </w:rPr>
        <w:t>深入实施可持续发展战略，积极推进产业生态化、生态产业化，坚持走生产发展、生活富裕、生态良好的发展道路，建设人与自然和谐共生的美丽家园。</w:t>
      </w:r>
    </w:p>
    <w:p w14:paraId="15647387">
      <w:pPr>
        <w:pStyle w:val="37"/>
        <w:numPr>
          <w:ilvl w:val="0"/>
          <w:numId w:val="2"/>
        </w:numPr>
        <w:tabs>
          <w:tab w:val="left" w:pos="1140"/>
          <w:tab w:val="center" w:pos="4153"/>
        </w:tabs>
        <w:spacing w:before="100" w:beforeAutospacing="1" w:after="100" w:afterAutospacing="1"/>
        <w:ind w:firstLineChars="0"/>
        <w:jc w:val="center"/>
        <w:outlineLvl w:val="1"/>
        <w:rPr>
          <w:rFonts w:ascii="Times New Roman" w:hAnsi="Times New Roman" w:eastAsia="黑体"/>
          <w:sz w:val="32"/>
          <w:szCs w:val="32"/>
        </w:rPr>
      </w:pPr>
      <w:bookmarkStart w:id="82" w:name="_Toc4601"/>
      <w:r>
        <w:rPr>
          <w:rFonts w:hint="eastAsia" w:ascii="Times New Roman" w:hAnsi="Times New Roman" w:eastAsia="黑体"/>
          <w:sz w:val="32"/>
          <w:szCs w:val="32"/>
        </w:rPr>
        <w:t>持续改善环境质量</w:t>
      </w:r>
      <w:bookmarkEnd w:id="82"/>
    </w:p>
    <w:p w14:paraId="08B93A08">
      <w:pPr>
        <w:ind w:firstLine="643" w:firstLineChars="200"/>
        <w:rPr>
          <w:rFonts w:ascii="Times New Roman" w:hAnsi="Times New Roman" w:eastAsia="仿宋_GB2312"/>
          <w:sz w:val="32"/>
          <w:szCs w:val="32"/>
        </w:rPr>
      </w:pPr>
      <w:r>
        <w:rPr>
          <w:rFonts w:hint="eastAsia" w:ascii="Times New Roman" w:hAnsi="Times New Roman" w:eastAsia="仿宋_GB2312"/>
          <w:b/>
          <w:sz w:val="32"/>
          <w:szCs w:val="40"/>
        </w:rPr>
        <w:t>持续推进大气</w:t>
      </w:r>
      <w:r>
        <w:rPr>
          <w:rFonts w:hint="eastAsia" w:ascii="Times New Roman" w:hAnsi="Times New Roman" w:eastAsia="仿宋_GB2312"/>
          <w:b/>
          <w:sz w:val="32"/>
          <w:szCs w:val="40"/>
          <w:lang w:val="en-US" w:eastAsia="zh-CN"/>
        </w:rPr>
        <w:t>污染</w:t>
      </w:r>
      <w:r>
        <w:rPr>
          <w:rFonts w:hint="eastAsia" w:ascii="Times New Roman" w:hAnsi="Times New Roman" w:eastAsia="仿宋_GB2312"/>
          <w:b/>
          <w:sz w:val="32"/>
          <w:szCs w:val="40"/>
        </w:rPr>
        <w:t>综合</w:t>
      </w:r>
      <w:r>
        <w:rPr>
          <w:rFonts w:hint="eastAsia" w:ascii="Times New Roman" w:hAnsi="Times New Roman" w:eastAsia="仿宋_GB2312"/>
          <w:b/>
          <w:sz w:val="32"/>
          <w:szCs w:val="40"/>
          <w:lang w:val="en-US" w:eastAsia="zh-CN"/>
        </w:rPr>
        <w:t>防治</w:t>
      </w:r>
      <w:r>
        <w:rPr>
          <w:rFonts w:ascii="Times New Roman" w:hAnsi="Times New Roman" w:eastAsia="仿宋_GB2312"/>
          <w:b/>
          <w:sz w:val="32"/>
          <w:szCs w:val="40"/>
        </w:rPr>
        <w:t>。</w:t>
      </w:r>
      <w:r>
        <w:rPr>
          <w:rFonts w:hint="eastAsia" w:ascii="Times New Roman" w:hAnsi="Times New Roman" w:eastAsia="仿宋_GB2312"/>
          <w:sz w:val="32"/>
          <w:szCs w:val="32"/>
        </w:rPr>
        <w:t>全面推进工业企业污染物达标排放，</w:t>
      </w:r>
      <w:r>
        <w:rPr>
          <w:rFonts w:ascii="Times New Roman" w:hAnsi="Times New Roman" w:eastAsia="仿宋_GB2312"/>
          <w:sz w:val="32"/>
          <w:szCs w:val="32"/>
        </w:rPr>
        <w:t>实施PM</w:t>
      </w:r>
      <w:r>
        <w:rPr>
          <w:rFonts w:ascii="Times New Roman" w:hAnsi="Times New Roman" w:eastAsia="仿宋_GB2312"/>
          <w:sz w:val="32"/>
          <w:szCs w:val="32"/>
          <w:vertAlign w:val="subscript"/>
        </w:rPr>
        <w:t>2.5</w:t>
      </w:r>
      <w:r>
        <w:rPr>
          <w:rFonts w:ascii="Times New Roman" w:hAnsi="Times New Roman" w:eastAsia="仿宋_GB2312"/>
          <w:sz w:val="32"/>
          <w:szCs w:val="32"/>
        </w:rPr>
        <w:t>和臭氧“双控双减”。</w:t>
      </w:r>
      <w:r>
        <w:rPr>
          <w:rFonts w:hint="eastAsia" w:ascii="Times New Roman" w:hAnsi="Times New Roman" w:eastAsia="仿宋_GB2312"/>
          <w:sz w:val="32"/>
          <w:szCs w:val="32"/>
        </w:rPr>
        <w:t>强化空气污染物协同控制和区域协同治理，</w:t>
      </w:r>
      <w:r>
        <w:rPr>
          <w:rFonts w:ascii="Times New Roman" w:hAnsi="Times New Roman" w:eastAsia="仿宋_GB2312"/>
          <w:sz w:val="32"/>
          <w:szCs w:val="32"/>
        </w:rPr>
        <w:t>实施工业废气、非道路移动源废气、扬尘污染、餐饮行业油烟污染、</w:t>
      </w:r>
      <w:r>
        <w:rPr>
          <w:rFonts w:hint="eastAsia" w:ascii="Times New Roman" w:hAnsi="Times New Roman" w:eastAsia="仿宋_GB2312"/>
          <w:sz w:val="32"/>
          <w:szCs w:val="32"/>
          <w:lang w:eastAsia="zh-CN"/>
        </w:rPr>
        <w:t>秸秆</w:t>
      </w:r>
      <w:r>
        <w:rPr>
          <w:rFonts w:ascii="Times New Roman" w:hAnsi="Times New Roman" w:eastAsia="仿宋_GB2312"/>
          <w:sz w:val="32"/>
          <w:szCs w:val="32"/>
        </w:rPr>
        <w:t>禁烧等专项治理行动</w:t>
      </w:r>
      <w:r>
        <w:rPr>
          <w:rFonts w:hint="eastAsia" w:ascii="Times New Roman" w:hAnsi="Times New Roman" w:eastAsia="仿宋_GB2312"/>
          <w:sz w:val="32"/>
          <w:szCs w:val="32"/>
        </w:rPr>
        <w:t>，推动包装印刷、工业涂装等行业深度治理。</w:t>
      </w:r>
    </w:p>
    <w:p w14:paraId="30DB943B">
      <w:pPr>
        <w:pStyle w:val="9"/>
        <w:ind w:firstLine="643"/>
        <w:rPr>
          <w:rFonts w:ascii="Times New Roman" w:hAnsi="Times New Roman" w:eastAsia="仿宋_GB2312"/>
          <w:sz w:val="32"/>
          <w:szCs w:val="32"/>
        </w:rPr>
      </w:pPr>
      <w:r>
        <w:rPr>
          <w:rFonts w:ascii="Times New Roman" w:hAnsi="Times New Roman" w:eastAsia="仿宋_GB2312"/>
          <w:b/>
          <w:sz w:val="32"/>
          <w:szCs w:val="40"/>
        </w:rPr>
        <w:t>加强水环境治理。</w:t>
      </w:r>
      <w:r>
        <w:rPr>
          <w:rFonts w:hint="eastAsia" w:ascii="Times New Roman" w:hAnsi="Times New Roman" w:eastAsia="仿宋_GB2312"/>
          <w:sz w:val="32"/>
          <w:szCs w:val="32"/>
          <w:lang w:val="en-US" w:eastAsia="zh-CN"/>
        </w:rPr>
        <w:t>深化</w:t>
      </w:r>
      <w:r>
        <w:rPr>
          <w:rFonts w:ascii="Times New Roman" w:hAnsi="Times New Roman" w:eastAsia="仿宋_GB2312"/>
          <w:sz w:val="32"/>
          <w:szCs w:val="32"/>
        </w:rPr>
        <w:t>“三大一强”专项</w:t>
      </w:r>
      <w:r>
        <w:rPr>
          <w:rFonts w:hint="eastAsia" w:ascii="Times New Roman" w:hAnsi="Times New Roman" w:eastAsia="仿宋_GB2312"/>
          <w:sz w:val="32"/>
          <w:szCs w:val="32"/>
          <w:lang w:val="en-US" w:eastAsia="zh-CN"/>
        </w:rPr>
        <w:t>攻坚</w:t>
      </w:r>
      <w:r>
        <w:rPr>
          <w:rFonts w:ascii="Times New Roman" w:hAnsi="Times New Roman" w:eastAsia="仿宋_GB2312"/>
          <w:sz w:val="32"/>
          <w:szCs w:val="32"/>
        </w:rPr>
        <w:t>行动，</w:t>
      </w:r>
      <w:r>
        <w:rPr>
          <w:rFonts w:hint="eastAsia" w:ascii="Times New Roman" w:hAnsi="Times New Roman" w:eastAsia="仿宋_GB2312"/>
          <w:sz w:val="32"/>
          <w:szCs w:val="32"/>
        </w:rPr>
        <w:t>落实</w:t>
      </w:r>
      <w:r>
        <w:rPr>
          <w:rFonts w:ascii="Times New Roman" w:hAnsi="Times New Roman" w:eastAsia="仿宋_GB2312"/>
          <w:sz w:val="32"/>
          <w:szCs w:val="32"/>
        </w:rPr>
        <w:t>“</w:t>
      </w:r>
      <w:r>
        <w:rPr>
          <w:rFonts w:hint="eastAsia" w:ascii="Times New Roman" w:hAnsi="Times New Roman" w:eastAsia="仿宋_GB2312"/>
          <w:sz w:val="32"/>
          <w:szCs w:val="32"/>
        </w:rPr>
        <w:t>1515</w:t>
      </w:r>
      <w:r>
        <w:rPr>
          <w:rFonts w:ascii="Times New Roman" w:hAnsi="Times New Roman" w:eastAsia="仿宋_GB2312"/>
          <w:sz w:val="32"/>
          <w:szCs w:val="32"/>
        </w:rPr>
        <w:t>”</w:t>
      </w:r>
      <w:r>
        <w:rPr>
          <w:rFonts w:hint="eastAsia" w:ascii="Times New Roman" w:hAnsi="Times New Roman" w:eastAsia="仿宋_GB2312"/>
          <w:sz w:val="32"/>
          <w:szCs w:val="32"/>
        </w:rPr>
        <w:t>岸线</w:t>
      </w:r>
      <w:r>
        <w:rPr>
          <w:rFonts w:ascii="Times New Roman" w:hAnsi="Times New Roman" w:eastAsia="仿宋_GB2312"/>
          <w:sz w:val="32"/>
          <w:szCs w:val="32"/>
        </w:rPr>
        <w:t>分级管控</w:t>
      </w:r>
      <w:r>
        <w:rPr>
          <w:rFonts w:hint="eastAsia" w:ascii="Times New Roman" w:hAnsi="Times New Roman" w:eastAsia="仿宋_GB2312"/>
          <w:sz w:val="32"/>
          <w:szCs w:val="32"/>
        </w:rPr>
        <w:t>措施</w:t>
      </w:r>
      <w:r>
        <w:rPr>
          <w:rFonts w:ascii="Times New Roman" w:hAnsi="Times New Roman" w:eastAsia="仿宋_GB2312"/>
          <w:sz w:val="32"/>
          <w:szCs w:val="32"/>
        </w:rPr>
        <w:t>，</w:t>
      </w:r>
      <w:r>
        <w:rPr>
          <w:rFonts w:hint="eastAsia" w:ascii="Times New Roman" w:hAnsi="Times New Roman" w:eastAsia="仿宋_GB2312"/>
          <w:sz w:val="32"/>
          <w:szCs w:val="32"/>
        </w:rPr>
        <w:t>深入</w:t>
      </w:r>
      <w:r>
        <w:rPr>
          <w:rFonts w:ascii="Times New Roman" w:hAnsi="Times New Roman" w:eastAsia="仿宋_GB2312"/>
          <w:sz w:val="32"/>
          <w:szCs w:val="32"/>
        </w:rPr>
        <w:t>推进</w:t>
      </w:r>
      <w:r>
        <w:rPr>
          <w:rFonts w:hint="eastAsia" w:ascii="Times New Roman" w:hAnsi="Times New Roman" w:eastAsia="仿宋_GB2312"/>
          <w:sz w:val="32"/>
          <w:szCs w:val="32"/>
        </w:rPr>
        <w:t>禁新建、减存量、关污源、进园区、建新绿、纳统管、强机制和生物多样性保护“7+1”行动。</w:t>
      </w:r>
      <w:r>
        <w:rPr>
          <w:rFonts w:ascii="Times New Roman" w:hAnsi="Times New Roman" w:eastAsia="仿宋_GB2312"/>
          <w:sz w:val="32"/>
          <w:szCs w:val="32"/>
        </w:rPr>
        <w:t>全面推进水污染防治、水生态修复、水资源保护，促进水体水质明显改善</w:t>
      </w:r>
      <w:r>
        <w:rPr>
          <w:rFonts w:hint="eastAsia" w:ascii="Times New Roman" w:hAnsi="Times New Roman" w:eastAsia="仿宋_GB2312"/>
          <w:sz w:val="32"/>
          <w:szCs w:val="32"/>
        </w:rPr>
        <w:t>，确保两个国控点断面考核水质达标</w:t>
      </w:r>
      <w:r>
        <w:rPr>
          <w:rFonts w:ascii="Times New Roman" w:hAnsi="Times New Roman" w:eastAsia="仿宋_GB2312"/>
          <w:sz w:val="32"/>
          <w:szCs w:val="32"/>
        </w:rPr>
        <w:t>。</w:t>
      </w:r>
      <w:r>
        <w:rPr>
          <w:rFonts w:hint="eastAsia" w:ascii="Times New Roman" w:hAnsi="Times New Roman" w:eastAsia="仿宋_GB2312"/>
          <w:sz w:val="32"/>
          <w:szCs w:val="32"/>
        </w:rPr>
        <w:t>统筹城乡污水处理，基本消除黑臭水体</w:t>
      </w:r>
      <w:r>
        <w:rPr>
          <w:rFonts w:ascii="Times New Roman" w:hAnsi="Times New Roman" w:eastAsia="仿宋_GB2312"/>
          <w:sz w:val="32"/>
          <w:szCs w:val="32"/>
        </w:rPr>
        <w:t>。</w:t>
      </w:r>
      <w:r>
        <w:rPr>
          <w:rFonts w:hint="eastAsia" w:ascii="Times New Roman" w:hAnsi="Times New Roman" w:eastAsia="仿宋_GB2312"/>
          <w:sz w:val="32"/>
          <w:szCs w:val="32"/>
        </w:rPr>
        <w:t>坚决打赢长江流域重点水域禁捕退捕攻坚战，推深做实河（湖）长制。抓好菜子湖流域治理和生态修复，建设嬉子湖国家湿地公园。</w:t>
      </w:r>
    </w:p>
    <w:p w14:paraId="3CE6477A">
      <w:pPr>
        <w:pStyle w:val="4"/>
        <w:tabs>
          <w:tab w:val="right" w:leader="dot" w:pos="8296"/>
        </w:tabs>
        <w:ind w:firstLine="643" w:firstLineChars="200"/>
        <w:rPr>
          <w:rFonts w:ascii="Times New Roman" w:hAnsi="Times New Roman" w:eastAsia="仿宋_GB2312"/>
          <w:sz w:val="32"/>
          <w:szCs w:val="32"/>
        </w:rPr>
      </w:pPr>
      <w:r>
        <w:rPr>
          <w:rFonts w:ascii="Times New Roman" w:hAnsi="Times New Roman" w:eastAsia="仿宋_GB2312"/>
          <w:b/>
          <w:sz w:val="32"/>
          <w:szCs w:val="40"/>
        </w:rPr>
        <w:t>提升土壤污染</w:t>
      </w:r>
      <w:r>
        <w:rPr>
          <w:rFonts w:hint="eastAsia" w:ascii="Times New Roman" w:hAnsi="Times New Roman" w:eastAsia="仿宋_GB2312"/>
          <w:b/>
          <w:sz w:val="32"/>
          <w:szCs w:val="40"/>
        </w:rPr>
        <w:t>和固废危废</w:t>
      </w:r>
      <w:r>
        <w:rPr>
          <w:rFonts w:ascii="Times New Roman" w:hAnsi="Times New Roman" w:eastAsia="仿宋_GB2312"/>
          <w:b/>
          <w:sz w:val="32"/>
          <w:szCs w:val="40"/>
        </w:rPr>
        <w:t>防治水平。</w:t>
      </w:r>
      <w:r>
        <w:rPr>
          <w:rFonts w:ascii="Times New Roman" w:hAnsi="Times New Roman" w:eastAsia="仿宋_GB2312"/>
          <w:sz w:val="32"/>
          <w:szCs w:val="32"/>
        </w:rPr>
        <w:t>全面实施土壤污染防治行动计划，</w:t>
      </w:r>
      <w:r>
        <w:rPr>
          <w:rFonts w:hint="eastAsia" w:ascii="Times New Roman" w:hAnsi="Times New Roman" w:eastAsia="仿宋_GB2312"/>
          <w:sz w:val="32"/>
          <w:szCs w:val="32"/>
        </w:rPr>
        <w:t>强化疑似污染地块风险管控</w:t>
      </w:r>
      <w:r>
        <w:rPr>
          <w:rFonts w:ascii="Times New Roman" w:hAnsi="Times New Roman" w:eastAsia="仿宋_GB2312"/>
          <w:sz w:val="32"/>
          <w:szCs w:val="32"/>
        </w:rPr>
        <w:t>。推进化肥农药减量化和土壤污染治理</w:t>
      </w:r>
      <w:r>
        <w:rPr>
          <w:rFonts w:hint="eastAsia" w:ascii="Times New Roman" w:hAnsi="Times New Roman" w:eastAsia="仿宋_GB2312"/>
          <w:sz w:val="32"/>
          <w:szCs w:val="32"/>
        </w:rPr>
        <w:t>，</w:t>
      </w:r>
      <w:r>
        <w:rPr>
          <w:rFonts w:ascii="Times New Roman" w:hAnsi="Times New Roman" w:eastAsia="仿宋_GB2312"/>
          <w:sz w:val="32"/>
          <w:szCs w:val="32"/>
        </w:rPr>
        <w:t>加强</w:t>
      </w:r>
      <w:r>
        <w:rPr>
          <w:rFonts w:hint="eastAsia" w:ascii="Times New Roman" w:hAnsi="Times New Roman" w:eastAsia="仿宋_GB2312"/>
          <w:sz w:val="32"/>
          <w:szCs w:val="32"/>
          <w:lang w:eastAsia="zh-CN"/>
        </w:rPr>
        <w:t>“</w:t>
      </w:r>
      <w:r>
        <w:rPr>
          <w:rFonts w:ascii="Times New Roman" w:hAnsi="Times New Roman" w:eastAsia="仿宋_GB2312"/>
          <w:sz w:val="32"/>
          <w:szCs w:val="32"/>
        </w:rPr>
        <w:t>白色污染</w:t>
      </w:r>
      <w:r>
        <w:rPr>
          <w:rFonts w:hint="eastAsia" w:ascii="Times New Roman" w:hAnsi="Times New Roman" w:eastAsia="仿宋_GB2312"/>
          <w:sz w:val="32"/>
          <w:szCs w:val="32"/>
          <w:lang w:eastAsia="zh-CN"/>
        </w:rPr>
        <w:t>”</w:t>
      </w:r>
      <w:r>
        <w:rPr>
          <w:rFonts w:ascii="Times New Roman" w:hAnsi="Times New Roman" w:eastAsia="仿宋_GB2312"/>
          <w:sz w:val="32"/>
          <w:szCs w:val="32"/>
        </w:rPr>
        <w:t>治理</w:t>
      </w:r>
      <w:r>
        <w:rPr>
          <w:rFonts w:hint="eastAsia" w:ascii="Times New Roman" w:hAnsi="Times New Roman" w:eastAsia="仿宋_GB2312"/>
          <w:sz w:val="32"/>
          <w:szCs w:val="32"/>
        </w:rPr>
        <w:t>。加强重金属污染防控，加快推动金涛金属表面处理中心建设。</w:t>
      </w:r>
      <w:r>
        <w:rPr>
          <w:rFonts w:ascii="Times New Roman" w:hAnsi="Times New Roman" w:eastAsia="仿宋_GB2312"/>
          <w:sz w:val="32"/>
          <w:szCs w:val="32"/>
        </w:rPr>
        <w:t>建立健全固废危废污染防控长效机制，统筹规划固废资源回收基地和危废资源处置中心，加强危险废物医疗废物收集处理</w:t>
      </w:r>
      <w:r>
        <w:rPr>
          <w:rFonts w:hint="eastAsia" w:ascii="Times New Roman" w:hAnsi="Times New Roman" w:eastAsia="仿宋_GB2312"/>
          <w:sz w:val="32"/>
          <w:szCs w:val="32"/>
        </w:rPr>
        <w:t>，</w:t>
      </w:r>
      <w:r>
        <w:rPr>
          <w:rFonts w:ascii="Times New Roman" w:hAnsi="Times New Roman" w:eastAsia="仿宋_GB2312"/>
          <w:sz w:val="32"/>
          <w:szCs w:val="32"/>
        </w:rPr>
        <w:t>推进无害化处置和综合利用。</w:t>
      </w:r>
    </w:p>
    <w:p w14:paraId="7DC210B4">
      <w:pPr>
        <w:ind w:firstLine="643" w:firstLineChars="200"/>
        <w:rPr>
          <w:rFonts w:ascii="Times New Roman" w:hAnsi="Times New Roman" w:eastAsia="仿宋_GB2312"/>
          <w:sz w:val="32"/>
          <w:szCs w:val="32"/>
        </w:rPr>
      </w:pPr>
      <w:r>
        <w:rPr>
          <w:rFonts w:ascii="Times New Roman" w:hAnsi="Times New Roman" w:eastAsia="仿宋_GB2312"/>
          <w:b/>
          <w:sz w:val="32"/>
          <w:szCs w:val="40"/>
        </w:rPr>
        <w:t>严格生态空间保护。</w:t>
      </w:r>
      <w:r>
        <w:rPr>
          <w:rFonts w:hint="eastAsia" w:ascii="Times New Roman" w:hAnsi="Times New Roman" w:eastAsia="仿宋_GB2312"/>
          <w:sz w:val="32"/>
          <w:szCs w:val="32"/>
        </w:rPr>
        <w:t>实施生态环境综合治理工程，坚持山水林田湖草系统治理</w:t>
      </w:r>
      <w:r>
        <w:rPr>
          <w:rFonts w:ascii="Times New Roman" w:hAnsi="Times New Roman" w:eastAsia="仿宋_GB2312"/>
          <w:sz w:val="32"/>
          <w:szCs w:val="32"/>
        </w:rPr>
        <w:t>。加强对生态空间的整体保护和修复，重点开展长江防护林带生态廊道、新G206绿色长廊建设，加大对安徽龙眠山省级森林公园和桐城沿江湿地等自然保护区保护力度。</w:t>
      </w:r>
      <w:r>
        <w:rPr>
          <w:rFonts w:hint="eastAsia" w:ascii="Times New Roman" w:hAnsi="Times New Roman" w:eastAsia="仿宋_GB2312"/>
          <w:sz w:val="32"/>
          <w:szCs w:val="32"/>
        </w:rPr>
        <w:t>推深做实河</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湖</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长制，持续推进河湖整治专项行动。</w:t>
      </w:r>
      <w:r>
        <w:rPr>
          <w:rFonts w:ascii="Times New Roman" w:hAnsi="Times New Roman" w:eastAsia="仿宋_GB2312"/>
          <w:sz w:val="32"/>
          <w:szCs w:val="32"/>
        </w:rPr>
        <w:t>保护和恢复河湖生态系统，加强龙眠河、孔城河、大沙河、挂车河、三湾河和嬉子湖岸线保护与利用。</w:t>
      </w:r>
      <w:r>
        <w:rPr>
          <w:rFonts w:hint="eastAsia" w:ascii="Times New Roman" w:hAnsi="Times New Roman" w:eastAsia="仿宋_GB2312"/>
          <w:sz w:val="32"/>
          <w:szCs w:val="32"/>
        </w:rPr>
        <w:t>健全矿产资源保护利用、监测评价和统计制度，</w:t>
      </w:r>
      <w:r>
        <w:rPr>
          <w:rFonts w:ascii="Times New Roman" w:hAnsi="Times New Roman" w:eastAsia="仿宋_GB2312"/>
          <w:sz w:val="32"/>
          <w:szCs w:val="32"/>
        </w:rPr>
        <w:t>推进</w:t>
      </w:r>
      <w:r>
        <w:rPr>
          <w:rFonts w:hint="eastAsia" w:ascii="Times New Roman" w:hAnsi="Times New Roman" w:eastAsia="仿宋_GB2312"/>
          <w:sz w:val="32"/>
          <w:szCs w:val="32"/>
        </w:rPr>
        <w:t>枫香岭矿区建筑用片麻岩(机制砂)矿矿产资源开发利用，</w:t>
      </w:r>
      <w:r>
        <w:rPr>
          <w:rFonts w:ascii="Times New Roman" w:hAnsi="Times New Roman" w:eastAsia="仿宋_GB2312"/>
          <w:sz w:val="32"/>
          <w:szCs w:val="32"/>
        </w:rPr>
        <w:t>加</w:t>
      </w:r>
      <w:r>
        <w:rPr>
          <w:rFonts w:hint="eastAsia" w:ascii="Times New Roman" w:hAnsi="Times New Roman" w:eastAsia="仿宋_GB2312"/>
          <w:sz w:val="32"/>
          <w:szCs w:val="32"/>
        </w:rPr>
        <w:t>强</w:t>
      </w:r>
      <w:r>
        <w:rPr>
          <w:rFonts w:ascii="Times New Roman" w:hAnsi="Times New Roman" w:eastAsia="仿宋_GB2312"/>
          <w:sz w:val="32"/>
          <w:szCs w:val="32"/>
        </w:rPr>
        <w:t>矿山</w:t>
      </w:r>
      <w:r>
        <w:rPr>
          <w:rFonts w:hint="eastAsia" w:ascii="Times New Roman" w:hAnsi="Times New Roman" w:eastAsia="仿宋_GB2312"/>
          <w:sz w:val="32"/>
          <w:szCs w:val="32"/>
        </w:rPr>
        <w:t>生态修复和</w:t>
      </w:r>
      <w:r>
        <w:rPr>
          <w:rFonts w:ascii="Times New Roman" w:hAnsi="Times New Roman" w:eastAsia="仿宋_GB2312"/>
          <w:sz w:val="32"/>
          <w:szCs w:val="32"/>
        </w:rPr>
        <w:t>绿色矿山建设。</w:t>
      </w:r>
    </w:p>
    <w:p w14:paraId="62DFDE1B">
      <w:pPr>
        <w:tabs>
          <w:tab w:val="left" w:pos="1140"/>
          <w:tab w:val="center" w:pos="4153"/>
        </w:tabs>
        <w:spacing w:before="100" w:beforeAutospacing="1" w:after="100" w:afterAutospacing="1"/>
        <w:jc w:val="center"/>
        <w:outlineLvl w:val="1"/>
        <w:rPr>
          <w:rFonts w:ascii="Times New Roman" w:hAnsi="Times New Roman" w:eastAsia="黑体"/>
          <w:sz w:val="32"/>
          <w:szCs w:val="32"/>
        </w:rPr>
      </w:pPr>
      <w:bookmarkStart w:id="83" w:name="_Toc2480"/>
      <w:r>
        <w:rPr>
          <w:rFonts w:ascii="Times New Roman" w:hAnsi="Times New Roman" w:eastAsia="黑体"/>
          <w:sz w:val="32"/>
          <w:szCs w:val="32"/>
        </w:rPr>
        <w:t>第</w:t>
      </w:r>
      <w:r>
        <w:rPr>
          <w:rFonts w:hint="eastAsia" w:ascii="Times New Roman" w:hAnsi="Times New Roman" w:eastAsia="黑体"/>
          <w:sz w:val="32"/>
          <w:szCs w:val="32"/>
        </w:rPr>
        <w:t>二</w:t>
      </w:r>
      <w:r>
        <w:rPr>
          <w:rFonts w:ascii="Times New Roman" w:hAnsi="Times New Roman" w:eastAsia="黑体"/>
          <w:sz w:val="32"/>
          <w:szCs w:val="32"/>
        </w:rPr>
        <w:t>节</w:t>
      </w:r>
      <w:r>
        <w:rPr>
          <w:rFonts w:hint="eastAsia" w:ascii="Times New Roman" w:hAnsi="Times New Roman" w:eastAsia="黑体"/>
          <w:sz w:val="32"/>
          <w:szCs w:val="32"/>
          <w:lang w:val="en-US" w:eastAsia="zh-CN"/>
        </w:rPr>
        <w:t xml:space="preserve"> </w:t>
      </w:r>
      <w:r>
        <w:rPr>
          <w:rFonts w:hint="eastAsia" w:ascii="Times New Roman" w:hAnsi="Times New Roman" w:eastAsia="黑体"/>
          <w:sz w:val="32"/>
          <w:szCs w:val="32"/>
        </w:rPr>
        <w:t>提高资源利用效率</w:t>
      </w:r>
      <w:bookmarkEnd w:id="83"/>
    </w:p>
    <w:p w14:paraId="66FAF52C">
      <w:pPr>
        <w:ind w:firstLine="643" w:firstLineChars="200"/>
        <w:rPr>
          <w:rFonts w:ascii="Times New Roman" w:hAnsi="Times New Roman" w:eastAsia="仿宋_GB2312"/>
          <w:sz w:val="32"/>
          <w:szCs w:val="32"/>
        </w:rPr>
      </w:pPr>
      <w:r>
        <w:rPr>
          <w:rFonts w:hint="eastAsia" w:ascii="Times New Roman" w:hAnsi="Times New Roman" w:eastAsia="仿宋_GB2312"/>
          <w:b/>
          <w:sz w:val="32"/>
          <w:szCs w:val="40"/>
          <w:lang w:val="en-US" w:eastAsia="zh-CN"/>
        </w:rPr>
        <w:t>强化</w:t>
      </w:r>
      <w:r>
        <w:rPr>
          <w:rFonts w:ascii="Times New Roman" w:hAnsi="Times New Roman" w:eastAsia="仿宋_GB2312"/>
          <w:b/>
          <w:sz w:val="32"/>
          <w:szCs w:val="40"/>
        </w:rPr>
        <w:t>能源消费总量和强度双控制度。</w:t>
      </w:r>
      <w:r>
        <w:rPr>
          <w:rFonts w:ascii="Times New Roman" w:hAnsi="Times New Roman" w:eastAsia="仿宋_GB2312"/>
          <w:sz w:val="32"/>
          <w:szCs w:val="32"/>
        </w:rPr>
        <w:t>实施全民节能行动，</w:t>
      </w:r>
      <w:r>
        <w:rPr>
          <w:rFonts w:hint="eastAsia" w:ascii="Times New Roman" w:hAnsi="Times New Roman" w:eastAsia="仿宋_GB2312"/>
          <w:sz w:val="32"/>
          <w:szCs w:val="32"/>
        </w:rPr>
        <w:t>强化重点用能单位节能管理和能效提升，严控高能耗高物耗项目建设，</w:t>
      </w:r>
      <w:r>
        <w:rPr>
          <w:rFonts w:ascii="Times New Roman" w:hAnsi="Times New Roman" w:eastAsia="仿宋_GB2312"/>
          <w:sz w:val="32"/>
          <w:szCs w:val="32"/>
        </w:rPr>
        <w:t>推行合同能源管理模式</w:t>
      </w:r>
      <w:r>
        <w:rPr>
          <w:rFonts w:hint="eastAsia" w:ascii="Times New Roman" w:hAnsi="Times New Roman" w:eastAsia="仿宋_GB2312"/>
          <w:sz w:val="32"/>
          <w:szCs w:val="32"/>
        </w:rPr>
        <w:t>，</w:t>
      </w:r>
      <w:r>
        <w:rPr>
          <w:rFonts w:ascii="Times New Roman" w:hAnsi="Times New Roman" w:eastAsia="仿宋_GB2312"/>
          <w:sz w:val="32"/>
          <w:szCs w:val="32"/>
        </w:rPr>
        <w:t>形成政府率先垂范、企业积极行动、公众广泛参与的全民节能氛围。</w:t>
      </w:r>
    </w:p>
    <w:p w14:paraId="05D476F2">
      <w:pPr>
        <w:ind w:firstLine="643" w:firstLineChars="200"/>
        <w:rPr>
          <w:rFonts w:ascii="Times New Roman" w:hAnsi="Times New Roman" w:eastAsia="仿宋_GB2312"/>
          <w:sz w:val="32"/>
          <w:szCs w:val="32"/>
        </w:rPr>
      </w:pPr>
      <w:r>
        <w:rPr>
          <w:rFonts w:ascii="Times New Roman" w:hAnsi="Times New Roman" w:eastAsia="仿宋_GB2312"/>
          <w:b/>
          <w:sz w:val="32"/>
          <w:szCs w:val="40"/>
        </w:rPr>
        <w:t>完善水资源消耗总量和强度双控制度。</w:t>
      </w:r>
      <w:r>
        <w:rPr>
          <w:rFonts w:hint="eastAsia" w:ascii="Times New Roman" w:hAnsi="Times New Roman" w:eastAsia="仿宋_GB2312"/>
          <w:sz w:val="32"/>
          <w:szCs w:val="40"/>
        </w:rPr>
        <w:t>实施节水行动，</w:t>
      </w:r>
      <w:r>
        <w:rPr>
          <w:rFonts w:ascii="Times New Roman" w:hAnsi="Times New Roman" w:eastAsia="仿宋_GB2312"/>
          <w:sz w:val="32"/>
          <w:szCs w:val="32"/>
        </w:rPr>
        <w:t>大力推进农业节水增效、工业节水减排、城镇节水降损、重点地区节水开源等领域节水工作，全面提升水资源利用效率</w:t>
      </w:r>
      <w:r>
        <w:rPr>
          <w:rFonts w:hint="eastAsia" w:ascii="Times New Roman" w:hAnsi="Times New Roman" w:eastAsia="仿宋_GB2312"/>
          <w:sz w:val="32"/>
          <w:szCs w:val="32"/>
        </w:rPr>
        <w:t>，</w:t>
      </w:r>
      <w:r>
        <w:rPr>
          <w:rFonts w:hint="eastAsia" w:ascii="Times New Roman" w:hAnsi="Times New Roman" w:eastAsia="仿宋_GB2312"/>
          <w:sz w:val="32"/>
          <w:szCs w:val="40"/>
        </w:rPr>
        <w:t>推进水生态补偿机制落实运用。</w:t>
      </w:r>
      <w:r>
        <w:rPr>
          <w:rFonts w:ascii="Times New Roman" w:hAnsi="Times New Roman" w:eastAsia="仿宋_GB2312"/>
          <w:sz w:val="32"/>
          <w:szCs w:val="32"/>
        </w:rPr>
        <w:t>编制国民经济和社会发展、城镇发展等规划以及制定相关产业政策时，充分考虑水资源承载能力，进行规划水资源论证。</w:t>
      </w:r>
    </w:p>
    <w:p w14:paraId="2AA2E08F">
      <w:pPr>
        <w:ind w:firstLine="643" w:firstLineChars="200"/>
        <w:rPr>
          <w:rFonts w:ascii="Times New Roman" w:hAnsi="Times New Roman" w:eastAsia="仿宋_GB2312"/>
          <w:sz w:val="32"/>
          <w:szCs w:val="32"/>
        </w:rPr>
      </w:pPr>
      <w:r>
        <w:rPr>
          <w:rFonts w:ascii="Times New Roman" w:hAnsi="Times New Roman" w:eastAsia="仿宋_GB2312"/>
          <w:b/>
          <w:sz w:val="32"/>
          <w:szCs w:val="40"/>
        </w:rPr>
        <w:t>实施最严格的节约用地和耕地保护制度。</w:t>
      </w:r>
      <w:r>
        <w:rPr>
          <w:rFonts w:hint="eastAsia" w:ascii="Times New Roman" w:hAnsi="Times New Roman" w:eastAsia="仿宋_GB2312"/>
          <w:sz w:val="32"/>
          <w:szCs w:val="32"/>
        </w:rPr>
        <w:t>开展工业用地节约集约“双提升”行动，坚持以亩均论英雄，加快推进“标准地”改革。</w:t>
      </w:r>
      <w:r>
        <w:rPr>
          <w:rFonts w:ascii="Times New Roman" w:hAnsi="Times New Roman" w:eastAsia="仿宋_GB2312"/>
          <w:sz w:val="32"/>
          <w:szCs w:val="32"/>
        </w:rPr>
        <w:t>完善建设用地总量和强度双控制度，加强建设项目用地标准控制，提高亩均投入产出水平。持续推进低效用地再开发利用，推广节地模式和节地技术的应用。</w:t>
      </w:r>
    </w:p>
    <w:p w14:paraId="7B844957">
      <w:pPr>
        <w:ind w:firstLine="643" w:firstLineChars="200"/>
        <w:rPr>
          <w:rFonts w:ascii="Times New Roman" w:hAnsi="Times New Roman" w:eastAsia="仿宋_GB2312"/>
          <w:sz w:val="32"/>
          <w:szCs w:val="32"/>
        </w:rPr>
      </w:pPr>
      <w:r>
        <w:rPr>
          <w:rFonts w:ascii="Times New Roman" w:hAnsi="Times New Roman" w:eastAsia="仿宋_GB2312"/>
          <w:b/>
          <w:sz w:val="32"/>
          <w:szCs w:val="40"/>
        </w:rPr>
        <w:t>推动</w:t>
      </w:r>
      <w:r>
        <w:rPr>
          <w:rFonts w:hint="eastAsia" w:ascii="Times New Roman" w:hAnsi="Times New Roman" w:eastAsia="仿宋_GB2312"/>
          <w:b/>
          <w:sz w:val="32"/>
          <w:szCs w:val="40"/>
        </w:rPr>
        <w:t>资源</w:t>
      </w:r>
      <w:r>
        <w:rPr>
          <w:rFonts w:ascii="Times New Roman" w:hAnsi="Times New Roman" w:eastAsia="仿宋_GB2312"/>
          <w:b/>
          <w:sz w:val="32"/>
          <w:szCs w:val="40"/>
        </w:rPr>
        <w:t>循环利用。</w:t>
      </w:r>
      <w:r>
        <w:rPr>
          <w:rFonts w:ascii="Times New Roman" w:hAnsi="Times New Roman" w:eastAsia="仿宋_GB2312"/>
          <w:sz w:val="32"/>
          <w:szCs w:val="32"/>
        </w:rPr>
        <w:t>推</w:t>
      </w:r>
      <w:r>
        <w:rPr>
          <w:rFonts w:hint="eastAsia" w:ascii="Times New Roman" w:hAnsi="Times New Roman" w:eastAsia="仿宋_GB2312"/>
          <w:sz w:val="32"/>
          <w:szCs w:val="32"/>
        </w:rPr>
        <w:t>进经开区</w:t>
      </w:r>
      <w:r>
        <w:rPr>
          <w:rFonts w:ascii="Times New Roman" w:hAnsi="Times New Roman" w:eastAsia="仿宋_GB2312"/>
          <w:sz w:val="32"/>
          <w:szCs w:val="32"/>
        </w:rPr>
        <w:t>循环化改造</w:t>
      </w:r>
      <w:r>
        <w:rPr>
          <w:rFonts w:hint="eastAsia" w:ascii="Times New Roman" w:hAnsi="Times New Roman" w:eastAsia="仿宋_GB2312"/>
          <w:sz w:val="32"/>
          <w:szCs w:val="32"/>
        </w:rPr>
        <w:t>，</w:t>
      </w:r>
      <w:r>
        <w:rPr>
          <w:rFonts w:ascii="Times New Roman" w:hAnsi="Times New Roman" w:eastAsia="仿宋_GB2312"/>
          <w:sz w:val="32"/>
          <w:szCs w:val="32"/>
        </w:rPr>
        <w:t>促进园区废物交换利用</w:t>
      </w:r>
      <w:r>
        <w:rPr>
          <w:rFonts w:hint="eastAsia" w:ascii="Times New Roman" w:hAnsi="Times New Roman" w:eastAsia="仿宋_GB2312"/>
          <w:sz w:val="32"/>
          <w:szCs w:val="32"/>
        </w:rPr>
        <w:t>、</w:t>
      </w:r>
      <w:r>
        <w:rPr>
          <w:rFonts w:ascii="Times New Roman" w:hAnsi="Times New Roman" w:eastAsia="仿宋_GB2312"/>
          <w:sz w:val="32"/>
          <w:szCs w:val="32"/>
        </w:rPr>
        <w:t>能源资源梯级利用</w:t>
      </w:r>
      <w:r>
        <w:rPr>
          <w:rFonts w:hint="eastAsia" w:ascii="Times New Roman" w:hAnsi="Times New Roman" w:eastAsia="仿宋_GB2312"/>
          <w:sz w:val="32"/>
          <w:szCs w:val="32"/>
        </w:rPr>
        <w:t>、</w:t>
      </w:r>
      <w:r>
        <w:rPr>
          <w:rFonts w:ascii="Times New Roman" w:hAnsi="Times New Roman" w:eastAsia="仿宋_GB2312"/>
          <w:sz w:val="32"/>
          <w:szCs w:val="32"/>
        </w:rPr>
        <w:t>污染集中治理</w:t>
      </w:r>
      <w:r>
        <w:rPr>
          <w:rFonts w:hint="eastAsia" w:ascii="Times New Roman" w:hAnsi="Times New Roman" w:eastAsia="仿宋_GB2312"/>
          <w:sz w:val="32"/>
          <w:szCs w:val="32"/>
        </w:rPr>
        <w:t>。推行垃圾分类和减量化、资源化，加快推动固废循环经济产业园建设，推进建筑垃圾分类分级利用。强化砂石、矿山资源监管，实现合理、有序、高效利用。</w:t>
      </w:r>
    </w:p>
    <w:p w14:paraId="34B05C0E">
      <w:pPr>
        <w:tabs>
          <w:tab w:val="left" w:pos="1140"/>
          <w:tab w:val="center" w:pos="4153"/>
        </w:tabs>
        <w:spacing w:before="100" w:beforeAutospacing="1" w:after="100" w:afterAutospacing="1"/>
        <w:jc w:val="center"/>
        <w:outlineLvl w:val="1"/>
        <w:rPr>
          <w:rFonts w:ascii="Times New Roman" w:hAnsi="Times New Roman" w:eastAsia="黑体"/>
          <w:sz w:val="32"/>
          <w:szCs w:val="32"/>
        </w:rPr>
      </w:pPr>
      <w:bookmarkStart w:id="84" w:name="_Toc19010"/>
      <w:r>
        <w:rPr>
          <w:rFonts w:ascii="Times New Roman" w:hAnsi="Times New Roman" w:eastAsia="黑体"/>
          <w:sz w:val="32"/>
          <w:szCs w:val="32"/>
        </w:rPr>
        <w:t>第</w:t>
      </w:r>
      <w:r>
        <w:rPr>
          <w:rFonts w:hint="eastAsia" w:ascii="Times New Roman" w:hAnsi="Times New Roman" w:eastAsia="黑体"/>
          <w:sz w:val="32"/>
          <w:szCs w:val="32"/>
        </w:rPr>
        <w:t>三</w:t>
      </w:r>
      <w:r>
        <w:rPr>
          <w:rFonts w:ascii="Times New Roman" w:hAnsi="Times New Roman" w:eastAsia="黑体"/>
          <w:sz w:val="32"/>
          <w:szCs w:val="32"/>
        </w:rPr>
        <w:t>节</w:t>
      </w:r>
      <w:r>
        <w:rPr>
          <w:rFonts w:hint="eastAsia" w:ascii="Times New Roman" w:hAnsi="Times New Roman" w:eastAsia="黑体"/>
          <w:sz w:val="32"/>
          <w:szCs w:val="32"/>
          <w:lang w:val="en-US" w:eastAsia="zh-CN"/>
        </w:rPr>
        <w:t xml:space="preserve"> </w:t>
      </w:r>
      <w:r>
        <w:rPr>
          <w:rFonts w:hint="eastAsia" w:ascii="Times New Roman" w:hAnsi="Times New Roman" w:eastAsia="黑体"/>
          <w:sz w:val="32"/>
          <w:szCs w:val="32"/>
        </w:rPr>
        <w:t>推动绿色低碳发展</w:t>
      </w:r>
      <w:bookmarkEnd w:id="84"/>
    </w:p>
    <w:p w14:paraId="19F6CFDB">
      <w:pPr>
        <w:spacing w:line="360" w:lineRule="auto"/>
        <w:ind w:firstLine="643" w:firstLineChars="200"/>
        <w:rPr>
          <w:rFonts w:ascii="Times New Roman" w:hAnsi="Times New Roman" w:eastAsia="仿宋_GB2312"/>
          <w:sz w:val="32"/>
          <w:szCs w:val="32"/>
        </w:rPr>
      </w:pPr>
      <w:r>
        <w:rPr>
          <w:rFonts w:ascii="Times New Roman" w:hAnsi="Times New Roman" w:eastAsia="仿宋_GB2312"/>
          <w:b/>
          <w:sz w:val="32"/>
          <w:szCs w:val="32"/>
        </w:rPr>
        <w:t>推动产业绿色化生态化</w:t>
      </w:r>
      <w:r>
        <w:rPr>
          <w:rFonts w:ascii="Times New Roman" w:hAnsi="Times New Roman" w:eastAsia="仿宋_GB2312"/>
          <w:sz w:val="32"/>
          <w:szCs w:val="32"/>
        </w:rPr>
        <w:t>。统筹推进绿色产业发展和产业绿色升级，</w:t>
      </w:r>
      <w:r>
        <w:rPr>
          <w:rFonts w:hint="eastAsia" w:ascii="Times New Roman" w:hAnsi="Times New Roman" w:eastAsia="仿宋_GB2312"/>
          <w:sz w:val="32"/>
          <w:szCs w:val="32"/>
        </w:rPr>
        <w:t>探索完善生态产品价值实现机制，不断拓宽绿水青山和金山银山双向转换通道，以创建全国林长制改革示范区先行区为契机，深化改革举措，大力发展林下经济，推动生态与旅游、文化、康养融合发展，创建国家级森林城市和全国森林康养基地。</w:t>
      </w:r>
    </w:p>
    <w:p w14:paraId="1F56281E">
      <w:pPr>
        <w:ind w:firstLine="643" w:firstLineChars="200"/>
        <w:rPr>
          <w:rFonts w:hint="eastAsia" w:ascii="Times New Roman" w:hAnsi="Times New Roman" w:eastAsia="仿宋_GB2312"/>
          <w:sz w:val="32"/>
          <w:szCs w:val="32"/>
        </w:rPr>
      </w:pPr>
      <w:r>
        <w:rPr>
          <w:rFonts w:ascii="Times New Roman" w:hAnsi="Times New Roman" w:eastAsia="仿宋_GB2312"/>
          <w:b/>
          <w:sz w:val="32"/>
          <w:szCs w:val="32"/>
        </w:rPr>
        <w:t>推行绿色生活</w:t>
      </w:r>
      <w:r>
        <w:rPr>
          <w:rFonts w:hint="eastAsia" w:ascii="Times New Roman" w:hAnsi="Times New Roman" w:eastAsia="仿宋_GB2312"/>
          <w:b/>
          <w:sz w:val="32"/>
          <w:szCs w:val="32"/>
          <w:lang w:val="en-US" w:eastAsia="zh-CN"/>
        </w:rPr>
        <w:t>方式</w:t>
      </w:r>
      <w:r>
        <w:rPr>
          <w:rFonts w:ascii="Times New Roman" w:hAnsi="Times New Roman" w:eastAsia="仿宋_GB2312"/>
          <w:sz w:val="32"/>
          <w:szCs w:val="32"/>
        </w:rPr>
        <w:t>。促进源头减量、清洁生产、资源循环、末端治理，扩大绿色产品消费。</w:t>
      </w:r>
      <w:r>
        <w:rPr>
          <w:rFonts w:hint="eastAsia" w:ascii="Times New Roman" w:hAnsi="Times New Roman" w:eastAsia="仿宋_GB2312"/>
          <w:sz w:val="32"/>
          <w:szCs w:val="32"/>
        </w:rPr>
        <w:t>开展</w:t>
      </w:r>
      <w:r>
        <w:rPr>
          <w:rFonts w:hint="eastAsia" w:ascii="Times New Roman" w:hAnsi="Times New Roman" w:eastAsia="仿宋_GB2312"/>
          <w:sz w:val="32"/>
          <w:szCs w:val="32"/>
          <w:lang w:val="en-US" w:eastAsia="zh-CN"/>
        </w:rPr>
        <w:t>节约型机关</w:t>
      </w:r>
      <w:r>
        <w:rPr>
          <w:rFonts w:hint="eastAsia" w:ascii="Times New Roman" w:hAnsi="Times New Roman" w:eastAsia="仿宋_GB2312"/>
          <w:sz w:val="32"/>
          <w:szCs w:val="32"/>
        </w:rPr>
        <w:t>、绿色家庭、</w:t>
      </w:r>
      <w:r>
        <w:rPr>
          <w:rFonts w:hint="eastAsia" w:ascii="Times New Roman" w:hAnsi="Times New Roman" w:eastAsia="仿宋_GB2312"/>
          <w:sz w:val="32"/>
          <w:szCs w:val="32"/>
          <w:lang w:val="en-US" w:eastAsia="zh-CN"/>
        </w:rPr>
        <w:t>绿色学校、</w:t>
      </w:r>
      <w:r>
        <w:rPr>
          <w:rFonts w:hint="eastAsia" w:ascii="Times New Roman" w:hAnsi="Times New Roman" w:eastAsia="仿宋_GB2312"/>
          <w:sz w:val="32"/>
          <w:szCs w:val="32"/>
        </w:rPr>
        <w:t>绿色社区、</w:t>
      </w:r>
      <w:r>
        <w:rPr>
          <w:rFonts w:hint="eastAsia" w:ascii="Times New Roman" w:hAnsi="Times New Roman" w:eastAsia="仿宋_GB2312"/>
          <w:sz w:val="32"/>
          <w:szCs w:val="32"/>
          <w:lang w:val="en-US" w:eastAsia="zh-CN"/>
        </w:rPr>
        <w:t>绿色出行、</w:t>
      </w:r>
      <w:r>
        <w:rPr>
          <w:rFonts w:hint="eastAsia" w:ascii="Times New Roman" w:hAnsi="Times New Roman" w:eastAsia="仿宋_GB2312"/>
          <w:sz w:val="32"/>
          <w:szCs w:val="32"/>
        </w:rPr>
        <w:t>绿色商场</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绿色建筑</w:t>
      </w:r>
      <w:r>
        <w:rPr>
          <w:rFonts w:hint="eastAsia" w:ascii="Times New Roman" w:hAnsi="Times New Roman" w:eastAsia="仿宋_GB2312"/>
          <w:sz w:val="32"/>
          <w:szCs w:val="32"/>
        </w:rPr>
        <w:t>等创建行动，探索垃圾分类治理，倡导简约适度、绿色低碳的生活方式，积极</w:t>
      </w:r>
      <w:bookmarkStart w:id="85" w:name="_Hlk59526128"/>
      <w:r>
        <w:rPr>
          <w:rFonts w:hint="eastAsia" w:ascii="Times New Roman" w:hAnsi="Times New Roman" w:eastAsia="仿宋_GB2312"/>
          <w:sz w:val="32"/>
          <w:szCs w:val="32"/>
        </w:rPr>
        <w:t>创建国家生态文明建设示范县（市）和“两山”创新实践基地。</w:t>
      </w:r>
      <w:bookmarkEnd w:id="85"/>
    </w:p>
    <w:p w14:paraId="1B0CFAAB"/>
    <w:tbl>
      <w:tblPr>
        <w:tblStyle w:val="38"/>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22"/>
      </w:tblGrid>
      <w:tr w14:paraId="1E50D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Pr>
          <w:p w14:paraId="4FE58D3E">
            <w:pPr>
              <w:tabs>
                <w:tab w:val="left" w:pos="540"/>
              </w:tabs>
              <w:snapToGrid w:val="0"/>
              <w:spacing w:line="360" w:lineRule="auto"/>
              <w:jc w:val="center"/>
              <w:rPr>
                <w:rFonts w:ascii="楷体" w:hAnsi="楷体" w:eastAsia="楷体" w:cs="仿宋_GB2312"/>
                <w:b/>
                <w:sz w:val="30"/>
                <w:szCs w:val="30"/>
                <w:lang w:val="zh-CN"/>
              </w:rPr>
            </w:pPr>
            <w:r>
              <w:rPr>
                <w:rFonts w:ascii="楷体" w:hAnsi="楷体" w:eastAsia="楷体" w:cs="仿宋_GB2312"/>
                <w:b/>
                <w:sz w:val="30"/>
                <w:szCs w:val="30"/>
                <w:lang w:val="zh-CN"/>
              </w:rPr>
              <w:t>专栏</w:t>
            </w:r>
            <w:r>
              <w:rPr>
                <w:rFonts w:hint="eastAsia" w:ascii="楷体" w:hAnsi="楷体" w:eastAsia="楷体" w:cs="仿宋_GB2312"/>
                <w:b/>
                <w:sz w:val="30"/>
                <w:szCs w:val="30"/>
                <w:lang w:val="zh-CN"/>
              </w:rPr>
              <w:t>1</w:t>
            </w:r>
            <w:r>
              <w:rPr>
                <w:rFonts w:hint="eastAsia" w:ascii="楷体" w:hAnsi="楷体" w:eastAsia="楷体" w:cs="仿宋_GB2312"/>
                <w:b/>
                <w:sz w:val="30"/>
                <w:szCs w:val="30"/>
                <w:lang w:val="en-US" w:eastAsia="zh-CN"/>
              </w:rPr>
              <w:t>6</w:t>
            </w:r>
            <w:r>
              <w:rPr>
                <w:rFonts w:hint="eastAsia" w:ascii="楷体" w:hAnsi="楷体" w:eastAsia="楷体" w:cs="仿宋_GB2312"/>
                <w:b/>
                <w:sz w:val="30"/>
                <w:szCs w:val="30"/>
                <w:lang w:val="zh-CN"/>
              </w:rPr>
              <w:t>：生态文明</w:t>
            </w:r>
            <w:r>
              <w:rPr>
                <w:rFonts w:ascii="楷体" w:hAnsi="楷体" w:eastAsia="楷体" w:cs="仿宋_GB2312"/>
                <w:b/>
                <w:sz w:val="30"/>
                <w:szCs w:val="30"/>
                <w:lang w:val="zh-CN"/>
              </w:rPr>
              <w:t>建设重大项目</w:t>
            </w:r>
          </w:p>
          <w:p w14:paraId="3B140146">
            <w:pPr>
              <w:spacing w:line="400" w:lineRule="exact"/>
              <w:ind w:firstLine="560" w:firstLineChars="200"/>
              <w:rPr>
                <w:rFonts w:ascii="楷体" w:hAnsi="楷体" w:eastAsia="楷体"/>
                <w:bCs/>
                <w:sz w:val="28"/>
                <w:szCs w:val="28"/>
              </w:rPr>
            </w:pPr>
            <w:r>
              <w:rPr>
                <w:rFonts w:hint="eastAsia" w:ascii="仿宋_GB2312" w:eastAsia="仿宋_GB2312"/>
                <w:color w:val="auto"/>
                <w:sz w:val="28"/>
                <w:szCs w:val="28"/>
                <w:lang w:val="en-US" w:eastAsia="zh-CN"/>
              </w:rPr>
              <w:t>推进建设</w:t>
            </w:r>
            <w:r>
              <w:rPr>
                <w:rFonts w:hint="eastAsia" w:ascii="仿宋_GB2312" w:eastAsia="仿宋_GB2312"/>
                <w:color w:val="auto"/>
                <w:sz w:val="28"/>
                <w:szCs w:val="28"/>
              </w:rPr>
              <w:t>桐城市水生态治理工程、嬉子湖湿地公园、桐城市菜子湖流域水环境保护与生态修复、桐城市长江防护林、引江济淮沿线生态廊道、龙眠河综合整治工程、桐城市中心镇污水处理设施及配套管网工程、桐城市污泥资源化利用、桐城市污水处理厂出水综合资源化利用、农村生活垃圾治理工程、嬉子湖国家湿地公园提升工程、菜子湖湿地自然保护区生态修复、大关镇集中式饮用水源保护区环境综合整治、桐城市餐厨垃圾无害化处理及资源化利用、鲟鱼镇镇区污水收集处置、桐城市经开区日处理6万吨污水处理厂及污水管网工程、双新南干渠综合治理、金神镇环菜子湖沿线区域综合治理开发工程、金神镇滨河公园、金神镇农村污水处理、新渡镇污水处理厂、年处理200万吨城市建筑垃圾再生利用、工业固废循环利用产业园</w:t>
            </w:r>
            <w:r>
              <w:rPr>
                <w:rFonts w:hint="eastAsia" w:ascii="仿宋_GB2312" w:eastAsia="仿宋_GB2312"/>
                <w:color w:val="auto"/>
                <w:sz w:val="28"/>
                <w:szCs w:val="28"/>
                <w:lang w:val="en-US" w:eastAsia="zh-CN"/>
              </w:rPr>
              <w:t>等</w:t>
            </w:r>
            <w:r>
              <w:rPr>
                <w:rFonts w:hint="eastAsia" w:ascii="仿宋_GB2312" w:eastAsia="仿宋_GB2312"/>
                <w:sz w:val="28"/>
                <w:szCs w:val="28"/>
              </w:rPr>
              <w:t>。</w:t>
            </w:r>
          </w:p>
        </w:tc>
      </w:tr>
    </w:tbl>
    <w:p w14:paraId="40097ED4">
      <w:pPr>
        <w:ind w:firstLine="640" w:firstLineChars="200"/>
        <w:rPr>
          <w:rFonts w:ascii="Times New Roman" w:hAnsi="Times New Roman" w:eastAsia="仿宋_GB2312"/>
          <w:sz w:val="32"/>
          <w:szCs w:val="32"/>
        </w:rPr>
      </w:pPr>
    </w:p>
    <w:p w14:paraId="4F0FF622">
      <w:pPr>
        <w:ind w:firstLine="640" w:firstLineChars="200"/>
        <w:rPr>
          <w:rFonts w:ascii="Times New Roman" w:hAnsi="Times New Roman" w:eastAsia="仿宋_GB2312"/>
          <w:sz w:val="32"/>
          <w:szCs w:val="32"/>
        </w:rPr>
        <w:sectPr>
          <w:pgSz w:w="11906" w:h="16838"/>
          <w:pgMar w:top="1440" w:right="1800" w:bottom="1440" w:left="1800" w:header="851" w:footer="992" w:gutter="0"/>
          <w:pgNumType w:fmt="decimal"/>
          <w:cols w:space="720" w:num="1"/>
          <w:docGrid w:type="lines" w:linePitch="312" w:charSpace="0"/>
        </w:sectPr>
      </w:pPr>
    </w:p>
    <w:p w14:paraId="05674861">
      <w:pPr>
        <w:pStyle w:val="3"/>
        <w:jc w:val="center"/>
        <w:rPr>
          <w:rFonts w:eastAsia="方正小标宋简体"/>
        </w:rPr>
      </w:pPr>
      <w:bookmarkStart w:id="86" w:name="_Toc53003469"/>
      <w:bookmarkStart w:id="87" w:name="_Toc24342"/>
      <w:r>
        <w:rPr>
          <w:rFonts w:hint="eastAsia" w:eastAsia="方正小标宋简体"/>
        </w:rPr>
        <w:t>坚持共建共享，增强人民获得感幸福感安全感</w:t>
      </w:r>
      <w:bookmarkEnd w:id="86"/>
      <w:bookmarkEnd w:id="87"/>
    </w:p>
    <w:p w14:paraId="43591028">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坚持把实现好、维护好、发展好最广大人民根本利益作为发展的出发点和落脚点，</w:t>
      </w:r>
      <w:r>
        <w:rPr>
          <w:rFonts w:ascii="Times New Roman" w:hAnsi="Times New Roman" w:eastAsia="仿宋_GB2312"/>
          <w:sz w:val="32"/>
          <w:szCs w:val="32"/>
        </w:rPr>
        <w:t>千方百计提升教育、医疗、就业、社会保障等公共服务质量，补齐民生短板、促进社会公平正义，推动城乡居民共享改革发展成果，增进民生福祉。</w:t>
      </w:r>
    </w:p>
    <w:p w14:paraId="73348A8E">
      <w:pPr>
        <w:tabs>
          <w:tab w:val="left" w:pos="1140"/>
          <w:tab w:val="center" w:pos="4153"/>
        </w:tabs>
        <w:spacing w:before="100" w:beforeAutospacing="1" w:after="100" w:afterAutospacing="1"/>
        <w:jc w:val="center"/>
        <w:outlineLvl w:val="1"/>
        <w:rPr>
          <w:rFonts w:ascii="Times New Roman" w:hAnsi="Times New Roman" w:eastAsia="黑体"/>
          <w:sz w:val="32"/>
          <w:szCs w:val="32"/>
        </w:rPr>
      </w:pPr>
      <w:bookmarkStart w:id="88" w:name="_Toc53003470"/>
      <w:bookmarkStart w:id="89" w:name="_Toc29680"/>
      <w:bookmarkStart w:id="90" w:name="_Toc53003478"/>
      <w:bookmarkStart w:id="91" w:name="_Toc52397826"/>
      <w:r>
        <w:rPr>
          <w:rFonts w:ascii="Times New Roman" w:hAnsi="Times New Roman" w:eastAsia="黑体"/>
          <w:sz w:val="32"/>
          <w:szCs w:val="32"/>
        </w:rPr>
        <w:t>第一节</w:t>
      </w:r>
      <w:r>
        <w:rPr>
          <w:rFonts w:hint="eastAsia" w:ascii="Times New Roman" w:hAnsi="Times New Roman" w:eastAsia="黑体"/>
          <w:sz w:val="32"/>
          <w:szCs w:val="32"/>
          <w:lang w:val="en-US" w:eastAsia="zh-CN"/>
        </w:rPr>
        <w:t xml:space="preserve"> </w:t>
      </w:r>
      <w:r>
        <w:rPr>
          <w:rFonts w:ascii="Times New Roman" w:hAnsi="Times New Roman" w:eastAsia="黑体"/>
          <w:sz w:val="32"/>
          <w:szCs w:val="32"/>
        </w:rPr>
        <w:t>大力</w:t>
      </w:r>
      <w:bookmarkEnd w:id="88"/>
      <w:r>
        <w:rPr>
          <w:rFonts w:hint="eastAsia" w:ascii="Times New Roman" w:hAnsi="Times New Roman" w:eastAsia="黑体"/>
          <w:sz w:val="32"/>
          <w:szCs w:val="32"/>
        </w:rPr>
        <w:t>发展教育事业</w:t>
      </w:r>
      <w:bookmarkEnd w:id="89"/>
    </w:p>
    <w:p w14:paraId="3079A261">
      <w:pPr>
        <w:spacing w:line="600" w:lineRule="exact"/>
        <w:ind w:firstLine="643" w:firstLineChars="200"/>
        <w:rPr>
          <w:rFonts w:ascii="Times New Roman" w:hAnsi="Times New Roman" w:eastAsia="仿宋_GB2312"/>
          <w:sz w:val="32"/>
        </w:rPr>
      </w:pPr>
      <w:r>
        <w:rPr>
          <w:rFonts w:hint="eastAsia" w:ascii="Times New Roman" w:hAnsi="Times New Roman" w:eastAsia="仿宋_GB2312"/>
          <w:b/>
          <w:bCs/>
          <w:sz w:val="32"/>
        </w:rPr>
        <w:t>落实立德树人根本任务。</w:t>
      </w:r>
      <w:r>
        <w:rPr>
          <w:rFonts w:hint="eastAsia" w:ascii="Times New Roman" w:hAnsi="Times New Roman" w:eastAsia="仿宋_GB2312"/>
          <w:bCs/>
          <w:sz w:val="32"/>
        </w:rPr>
        <w:t>实施德育铸魂、智育提质、体教融合、美育熏陶、劳动促进“五育并举”行动。</w:t>
      </w:r>
      <w:r>
        <w:rPr>
          <w:rFonts w:hint="eastAsia" w:ascii="Times New Roman" w:hAnsi="Times New Roman" w:eastAsia="仿宋_GB2312"/>
          <w:sz w:val="32"/>
        </w:rPr>
        <w:t>深化学校思想政治理论课改革。健全学校家庭社会协同育人机制。加强和改进新时代学校体育美育，开展劳动教育，重视青少年身体素质和心理健康教育，增强学生文明素养、社会责任意识、实践本领。大力推进全市中小学生综合素质教育发展，创建国家级中小学生综合素质教育营地。</w:t>
      </w:r>
    </w:p>
    <w:p w14:paraId="5B2CC9C2">
      <w:pPr>
        <w:ind w:firstLine="643" w:firstLineChars="200"/>
        <w:rPr>
          <w:rFonts w:hint="eastAsia" w:ascii="Times New Roman" w:hAnsi="Times New Roman" w:eastAsia="仿宋_GB2312"/>
          <w:sz w:val="32"/>
          <w:szCs w:val="32"/>
        </w:rPr>
      </w:pPr>
      <w:r>
        <w:rPr>
          <w:rFonts w:ascii="Times New Roman" w:hAnsi="Times New Roman" w:eastAsia="仿宋_GB2312"/>
          <w:b/>
          <w:sz w:val="32"/>
          <w:szCs w:val="32"/>
        </w:rPr>
        <w:t>提升基础教育质量水平。</w:t>
      </w:r>
      <w:r>
        <w:rPr>
          <w:rFonts w:hint="eastAsia" w:ascii="Times New Roman" w:hAnsi="Times New Roman" w:eastAsia="仿宋_GB2312"/>
          <w:sz w:val="32"/>
          <w:szCs w:val="32"/>
        </w:rPr>
        <w:t>坚持公办民办并举，着力扩大普惠性学前教育资源供给，拓展城区幼教集团建设，加大</w:t>
      </w:r>
      <w:r>
        <w:rPr>
          <w:rFonts w:ascii="Times New Roman" w:hAnsi="Times New Roman" w:eastAsia="仿宋_GB2312"/>
          <w:sz w:val="32"/>
          <w:szCs w:val="32"/>
        </w:rPr>
        <w:t>小区配套幼儿园、</w:t>
      </w:r>
      <w:r>
        <w:rPr>
          <w:rFonts w:hint="eastAsia" w:ascii="Times New Roman" w:hAnsi="Times New Roman" w:eastAsia="仿宋_GB2312"/>
          <w:sz w:val="32"/>
          <w:szCs w:val="32"/>
        </w:rPr>
        <w:t>乡镇中心幼儿园建设力度</w:t>
      </w:r>
      <w:r>
        <w:rPr>
          <w:rFonts w:ascii="Times New Roman" w:hAnsi="Times New Roman" w:eastAsia="仿宋_GB2312"/>
          <w:sz w:val="32"/>
          <w:szCs w:val="32"/>
        </w:rPr>
        <w:t>，到2025年，全市学前三年毛入园率达到</w:t>
      </w:r>
      <w:r>
        <w:rPr>
          <w:rFonts w:hint="eastAsia" w:ascii="Times New Roman" w:hAnsi="Times New Roman" w:eastAsia="仿宋_GB2312"/>
          <w:sz w:val="32"/>
          <w:szCs w:val="32"/>
        </w:rPr>
        <w:t>95</w:t>
      </w:r>
      <w:r>
        <w:rPr>
          <w:rFonts w:ascii="Times New Roman" w:hAnsi="Times New Roman" w:eastAsia="仿宋_GB2312"/>
          <w:sz w:val="32"/>
          <w:szCs w:val="32"/>
        </w:rPr>
        <w:t>%，普惠型幼儿园覆盖率</w:t>
      </w:r>
      <w:r>
        <w:rPr>
          <w:rFonts w:hint="eastAsia" w:ascii="Times New Roman" w:hAnsi="Times New Roman" w:eastAsia="仿宋_GB2312"/>
          <w:sz w:val="32"/>
          <w:szCs w:val="32"/>
        </w:rPr>
        <w:t>和</w:t>
      </w:r>
      <w:r>
        <w:rPr>
          <w:rFonts w:ascii="Times New Roman" w:hAnsi="Times New Roman" w:eastAsia="仿宋_GB2312"/>
          <w:sz w:val="32"/>
          <w:szCs w:val="32"/>
        </w:rPr>
        <w:t>公办幼儿园</w:t>
      </w:r>
      <w:r>
        <w:rPr>
          <w:rFonts w:hint="eastAsia" w:ascii="Times New Roman" w:hAnsi="Times New Roman" w:eastAsia="仿宋_GB2312"/>
          <w:sz w:val="32"/>
          <w:szCs w:val="32"/>
          <w:lang w:val="en-US" w:eastAsia="zh-CN"/>
        </w:rPr>
        <w:t>在园幼儿</w:t>
      </w:r>
      <w:r>
        <w:rPr>
          <w:rFonts w:ascii="Times New Roman" w:hAnsi="Times New Roman" w:eastAsia="仿宋_GB2312"/>
          <w:sz w:val="32"/>
          <w:szCs w:val="32"/>
        </w:rPr>
        <w:t>占比</w:t>
      </w:r>
      <w:r>
        <w:rPr>
          <w:rFonts w:hint="eastAsia" w:ascii="Times New Roman" w:hAnsi="Times New Roman" w:eastAsia="仿宋_GB2312"/>
          <w:sz w:val="32"/>
          <w:szCs w:val="32"/>
        </w:rPr>
        <w:t>分别</w:t>
      </w:r>
      <w:r>
        <w:rPr>
          <w:rFonts w:ascii="Times New Roman" w:hAnsi="Times New Roman" w:eastAsia="仿宋_GB2312"/>
          <w:sz w:val="32"/>
          <w:szCs w:val="32"/>
        </w:rPr>
        <w:t>达到</w:t>
      </w:r>
      <w:r>
        <w:rPr>
          <w:rFonts w:hint="eastAsia" w:ascii="Times New Roman" w:hAnsi="Times New Roman" w:eastAsia="仿宋_GB2312"/>
          <w:sz w:val="32"/>
          <w:szCs w:val="32"/>
        </w:rPr>
        <w:t>85</w:t>
      </w:r>
      <w:r>
        <w:rPr>
          <w:rFonts w:ascii="Times New Roman" w:hAnsi="Times New Roman" w:eastAsia="仿宋_GB2312"/>
          <w:sz w:val="32"/>
          <w:szCs w:val="32"/>
        </w:rPr>
        <w:t>%</w:t>
      </w:r>
      <w:r>
        <w:rPr>
          <w:rFonts w:hint="eastAsia" w:ascii="Times New Roman" w:hAnsi="Times New Roman" w:eastAsia="仿宋_GB2312"/>
          <w:sz w:val="32"/>
          <w:szCs w:val="32"/>
        </w:rPr>
        <w:t>和60</w:t>
      </w:r>
      <w:r>
        <w:rPr>
          <w:rFonts w:ascii="Times New Roman" w:hAnsi="Times New Roman" w:eastAsia="仿宋_GB2312"/>
          <w:sz w:val="32"/>
          <w:szCs w:val="32"/>
        </w:rPr>
        <w:t>%，</w:t>
      </w:r>
      <w:r>
        <w:rPr>
          <w:rFonts w:hint="eastAsia" w:ascii="Times New Roman" w:hAnsi="Times New Roman" w:eastAsia="仿宋_GB2312"/>
          <w:sz w:val="32"/>
        </w:rPr>
        <w:t>通过国家县域学前教育普及普惠督导评估验收。</w:t>
      </w:r>
      <w:r>
        <w:rPr>
          <w:rFonts w:hint="eastAsia" w:ascii="Times New Roman" w:hAnsi="Times New Roman" w:eastAsia="仿宋_GB2312"/>
          <w:sz w:val="32"/>
          <w:szCs w:val="32"/>
        </w:rPr>
        <w:t>加大城区等人口密集区域教育资源优化整合，增加供给。持续实施义务教育薄弱学校改造、农村中小学校舍维修改造、教育现代化推进工程，扩大城区学位供给，增强乡镇学校配套服务，</w:t>
      </w:r>
      <w:r>
        <w:rPr>
          <w:rFonts w:ascii="Times New Roman" w:hAnsi="Times New Roman" w:eastAsia="仿宋_GB2312"/>
          <w:sz w:val="32"/>
          <w:szCs w:val="32"/>
        </w:rPr>
        <w:t>完善城乡学校标准化建设</w:t>
      </w:r>
      <w:r>
        <w:rPr>
          <w:rFonts w:hint="eastAsia" w:ascii="Times New Roman" w:hAnsi="Times New Roman" w:eastAsia="仿宋_GB2312"/>
          <w:sz w:val="32"/>
          <w:szCs w:val="32"/>
        </w:rPr>
        <w:t>，</w:t>
      </w:r>
      <w:r>
        <w:rPr>
          <w:rFonts w:ascii="Times New Roman" w:hAnsi="Times New Roman" w:eastAsia="仿宋_GB2312"/>
          <w:sz w:val="32"/>
          <w:szCs w:val="32"/>
        </w:rPr>
        <w:t>争创安徽省义务教育优质均衡发展县（市、区）</w:t>
      </w:r>
      <w:r>
        <w:rPr>
          <w:rFonts w:hint="eastAsia" w:ascii="Times New Roman" w:hAnsi="Times New Roman" w:eastAsia="仿宋_GB2312"/>
          <w:sz w:val="32"/>
          <w:szCs w:val="32"/>
          <w:lang w:eastAsia="zh-CN"/>
        </w:rPr>
        <w:t>，</w:t>
      </w:r>
      <w:r>
        <w:rPr>
          <w:rFonts w:hint="eastAsia" w:ascii="Times New Roman" w:hAnsi="Times New Roman" w:eastAsia="仿宋_GB2312"/>
          <w:color w:val="000000" w:themeColor="text1"/>
          <w:sz w:val="32"/>
          <w:szCs w:val="32"/>
        </w:rPr>
        <w:t>打响桐城教育品牌</w:t>
      </w:r>
      <w:r>
        <w:rPr>
          <w:rFonts w:ascii="Times New Roman" w:hAnsi="Times New Roman" w:eastAsia="仿宋_GB2312"/>
          <w:sz w:val="32"/>
          <w:szCs w:val="32"/>
        </w:rPr>
        <w:t>。</w:t>
      </w:r>
      <w:r>
        <w:rPr>
          <w:rFonts w:hint="eastAsia" w:ascii="Times New Roman" w:hAnsi="Times New Roman" w:eastAsia="仿宋_GB2312"/>
          <w:sz w:val="32"/>
          <w:szCs w:val="32"/>
        </w:rPr>
        <w:t>探索建立城乡教育联合体，深化拓展集团化办学，提升桐城二中等4所办学集团校办学水平，放大“名校+”效应。加强乡村小规模学校和乡镇寄宿制学校建设，打造“乡村温馨校园”。维护学生平等入学权利，建立控辍保学机制，确保进城务工人员子女入学并享受</w:t>
      </w:r>
      <w:r>
        <w:rPr>
          <w:rFonts w:hint="eastAsia" w:ascii="Times New Roman" w:hAnsi="Times New Roman" w:eastAsia="仿宋_GB2312" w:cs="Times New Roman"/>
          <w:sz w:val="32"/>
          <w:szCs w:val="32"/>
        </w:rPr>
        <w:t>城</w:t>
      </w:r>
      <w:r>
        <w:rPr>
          <w:rFonts w:hint="eastAsia" w:ascii="Times New Roman" w:hAnsi="Times New Roman" w:eastAsia="仿宋_GB2312" w:cs="Times New Roman"/>
          <w:sz w:val="32"/>
          <w:szCs w:val="32"/>
          <w:lang w:val="en-US" w:eastAsia="zh-CN"/>
        </w:rPr>
        <w:t>区</w:t>
      </w:r>
      <w:r>
        <w:rPr>
          <w:rFonts w:hint="eastAsia" w:ascii="Times New Roman" w:hAnsi="Times New Roman" w:eastAsia="仿宋_GB2312" w:cs="Times New Roman"/>
          <w:sz w:val="32"/>
          <w:szCs w:val="32"/>
        </w:rPr>
        <w:t>学</w:t>
      </w:r>
      <w:r>
        <w:rPr>
          <w:rFonts w:hint="eastAsia" w:ascii="Times New Roman" w:hAnsi="Times New Roman" w:eastAsia="仿宋_GB2312"/>
          <w:sz w:val="32"/>
          <w:szCs w:val="32"/>
        </w:rPr>
        <w:t>生同等待遇。实施高中阶段教育提升行动，深化普通高中课程改革，探索高中教育特色多样化发展，有效应对新高考改革。</w:t>
      </w:r>
      <w:r>
        <w:rPr>
          <w:rFonts w:hint="eastAsia" w:ascii="Times New Roman" w:hAnsi="Times New Roman" w:eastAsia="仿宋_GB2312"/>
          <w:sz w:val="32"/>
          <w:szCs w:val="32"/>
          <w:lang w:val="en-US" w:eastAsia="zh-CN"/>
        </w:rPr>
        <w:t>完善普通高中综合素质评价实施办法，加强和创新教学组织管理，有序开展选课走班。到2025年，建成2所全市公办普通高中特色示范学校，创建1所普通高中新课程新教材实施示范校。</w:t>
      </w:r>
    </w:p>
    <w:p w14:paraId="5D2AA3F5">
      <w:pPr>
        <w:ind w:firstLine="643" w:firstLineChars="200"/>
        <w:rPr>
          <w:rFonts w:ascii="Times New Roman" w:hAnsi="Times New Roman" w:eastAsia="仿宋_GB2312"/>
          <w:color w:val="000000" w:themeColor="text1"/>
          <w:sz w:val="32"/>
          <w:szCs w:val="32"/>
        </w:rPr>
      </w:pPr>
      <w:r>
        <w:rPr>
          <w:rFonts w:ascii="Times New Roman" w:hAnsi="Times New Roman" w:eastAsia="仿宋_GB2312"/>
          <w:b/>
          <w:sz w:val="32"/>
          <w:szCs w:val="32"/>
        </w:rPr>
        <w:t>加快推进职业教育发展。</w:t>
      </w:r>
      <w:r>
        <w:rPr>
          <w:rFonts w:ascii="Times New Roman" w:hAnsi="Times New Roman" w:eastAsia="仿宋_GB2312"/>
          <w:color w:val="000000" w:themeColor="text1"/>
          <w:sz w:val="32"/>
          <w:szCs w:val="32"/>
        </w:rPr>
        <w:t>发展多层次各类型职业教育，扩大“3+2”办学模式，推动职业教育与普通教育和继续教育进一步相互融通。</w:t>
      </w:r>
      <w:r>
        <w:rPr>
          <w:rFonts w:hint="eastAsia" w:ascii="Times New Roman" w:hAnsi="Times New Roman" w:eastAsia="仿宋_GB2312"/>
          <w:color w:val="000000" w:themeColor="text1"/>
          <w:sz w:val="32"/>
          <w:szCs w:val="32"/>
        </w:rPr>
        <w:t>实施技能人才</w:t>
      </w:r>
      <w:r>
        <w:rPr>
          <w:rFonts w:ascii="Times New Roman" w:hAnsi="Times New Roman" w:eastAsia="仿宋_GB2312"/>
          <w:color w:val="000000" w:themeColor="text1"/>
          <w:sz w:val="32"/>
          <w:szCs w:val="32"/>
        </w:rPr>
        <w:t>“</w:t>
      </w:r>
      <w:r>
        <w:rPr>
          <w:rFonts w:hint="eastAsia" w:ascii="Times New Roman" w:hAnsi="Times New Roman" w:eastAsia="仿宋_GB2312"/>
          <w:color w:val="000000" w:themeColor="text1"/>
          <w:sz w:val="32"/>
          <w:szCs w:val="32"/>
        </w:rPr>
        <w:t>蓝领振兴”工程，</w:t>
      </w:r>
      <w:r>
        <w:rPr>
          <w:rFonts w:ascii="Times New Roman" w:hAnsi="Times New Roman" w:eastAsia="仿宋_GB2312"/>
          <w:color w:val="000000" w:themeColor="text1"/>
          <w:sz w:val="32"/>
          <w:szCs w:val="32"/>
        </w:rPr>
        <w:t>深化校企合作、产教融合，</w:t>
      </w:r>
      <w:r>
        <w:rPr>
          <w:rFonts w:hint="eastAsia" w:ascii="Times New Roman" w:hAnsi="Times New Roman" w:eastAsia="仿宋_GB2312"/>
          <w:color w:val="000000" w:themeColor="text1"/>
          <w:sz w:val="32"/>
          <w:szCs w:val="32"/>
        </w:rPr>
        <w:t>聚焦绿色包装、机电装备、现代服务业等重点产业需求开设相关专业，</w:t>
      </w:r>
      <w:r>
        <w:rPr>
          <w:rFonts w:ascii="Times New Roman" w:hAnsi="Times New Roman" w:eastAsia="仿宋_GB2312"/>
          <w:color w:val="000000" w:themeColor="text1"/>
          <w:sz w:val="32"/>
          <w:szCs w:val="32"/>
        </w:rPr>
        <w:t>推进综合培训基地、现代服务基地、教育实习基地、智能养老实训中心等</w:t>
      </w:r>
      <w:r>
        <w:rPr>
          <w:rFonts w:hint="eastAsia" w:ascii="Times New Roman" w:hAnsi="Times New Roman" w:eastAsia="仿宋_GB2312"/>
          <w:color w:val="000000" w:themeColor="text1"/>
          <w:sz w:val="32"/>
          <w:szCs w:val="32"/>
        </w:rPr>
        <w:t>项目</w:t>
      </w:r>
      <w:r>
        <w:rPr>
          <w:rFonts w:ascii="Times New Roman" w:hAnsi="Times New Roman" w:eastAsia="仿宋_GB2312"/>
          <w:color w:val="000000" w:themeColor="text1"/>
          <w:sz w:val="32"/>
          <w:szCs w:val="32"/>
        </w:rPr>
        <w:t>建设。</w:t>
      </w:r>
      <w:r>
        <w:rPr>
          <w:rFonts w:hint="eastAsia" w:ascii="Times New Roman" w:hAnsi="Times New Roman" w:eastAsia="仿宋_GB2312"/>
          <w:sz w:val="32"/>
          <w:szCs w:val="32"/>
        </w:rPr>
        <w:t>支持江淮工业学校建设省级开放性技能实训基地，参与国家产教融合建设试点和创建安徽省A类标准普通中等职业学校。</w:t>
      </w:r>
      <w:r>
        <w:rPr>
          <w:rFonts w:hint="eastAsia" w:ascii="Times New Roman" w:hAnsi="Times New Roman" w:eastAsia="仿宋_GB2312"/>
          <w:color w:val="000000" w:themeColor="text1"/>
          <w:sz w:val="32"/>
          <w:szCs w:val="32"/>
        </w:rPr>
        <w:t>加快推动桐城高级技工学校创建技师学院、桐城师范高等专科学校建设应用型、技能型特色高校。</w:t>
      </w:r>
      <w:r>
        <w:rPr>
          <w:rFonts w:ascii="Times New Roman" w:hAnsi="Times New Roman" w:eastAsia="仿宋_GB2312"/>
          <w:color w:val="000000" w:themeColor="text1"/>
          <w:sz w:val="32"/>
          <w:szCs w:val="32"/>
        </w:rPr>
        <w:t>完善职业教育集团化办学机制，推</w:t>
      </w:r>
      <w:r>
        <w:rPr>
          <w:rFonts w:hint="eastAsia" w:ascii="Times New Roman" w:hAnsi="Times New Roman" w:eastAsia="仿宋_GB2312"/>
          <w:color w:val="000000" w:themeColor="text1"/>
          <w:sz w:val="32"/>
          <w:szCs w:val="32"/>
        </w:rPr>
        <w:t>动</w:t>
      </w:r>
      <w:r>
        <w:rPr>
          <w:rFonts w:ascii="Times New Roman" w:hAnsi="Times New Roman" w:eastAsia="仿宋_GB2312"/>
          <w:color w:val="000000" w:themeColor="text1"/>
          <w:sz w:val="32"/>
          <w:szCs w:val="32"/>
        </w:rPr>
        <w:t>所有职校加入安庆职教集团，</w:t>
      </w:r>
      <w:r>
        <w:rPr>
          <w:rFonts w:hint="eastAsia" w:ascii="Times New Roman" w:hAnsi="Times New Roman" w:eastAsia="仿宋_GB2312"/>
          <w:color w:val="000000" w:themeColor="text1"/>
          <w:sz w:val="32"/>
          <w:szCs w:val="32"/>
        </w:rPr>
        <w:t>深化与长三角先进</w:t>
      </w:r>
      <w:r>
        <w:rPr>
          <w:rFonts w:ascii="Times New Roman" w:hAnsi="Times New Roman" w:eastAsia="仿宋_GB2312"/>
          <w:color w:val="000000" w:themeColor="text1"/>
          <w:sz w:val="32"/>
          <w:szCs w:val="32"/>
        </w:rPr>
        <w:t>职业教育集团</w:t>
      </w:r>
      <w:r>
        <w:rPr>
          <w:rFonts w:hint="eastAsia" w:ascii="Times New Roman" w:hAnsi="Times New Roman" w:eastAsia="仿宋_GB2312"/>
          <w:color w:val="000000" w:themeColor="text1"/>
          <w:sz w:val="32"/>
          <w:szCs w:val="32"/>
        </w:rPr>
        <w:t>的交流和对接</w:t>
      </w:r>
      <w:r>
        <w:rPr>
          <w:rFonts w:ascii="Times New Roman" w:hAnsi="Times New Roman" w:eastAsia="仿宋_GB2312"/>
          <w:color w:val="000000" w:themeColor="text1"/>
          <w:sz w:val="32"/>
          <w:szCs w:val="32"/>
        </w:rPr>
        <w:t>。</w:t>
      </w:r>
      <w:r>
        <w:rPr>
          <w:rFonts w:hint="eastAsia" w:ascii="Times New Roman" w:hAnsi="Times New Roman" w:eastAsia="仿宋_GB2312"/>
          <w:color w:val="000000" w:themeColor="text1"/>
          <w:sz w:val="32"/>
          <w:szCs w:val="32"/>
        </w:rPr>
        <w:t>深入推进技能大师工作室建设，大力开展职业技能竞赛活动，打造高素质技能人才队伍。</w:t>
      </w:r>
    </w:p>
    <w:p w14:paraId="40A3B6C4">
      <w:pPr>
        <w:ind w:firstLine="643" w:firstLineChars="200"/>
        <w:rPr>
          <w:rFonts w:ascii="Times New Roman" w:hAnsi="Times New Roman" w:eastAsia="仿宋_GB2312"/>
          <w:bCs/>
          <w:color w:val="000000" w:themeColor="text1"/>
          <w:sz w:val="32"/>
          <w:szCs w:val="32"/>
        </w:rPr>
      </w:pPr>
      <w:r>
        <w:rPr>
          <w:rFonts w:ascii="Times New Roman" w:hAnsi="Times New Roman" w:eastAsia="仿宋_GB2312"/>
          <w:b/>
          <w:sz w:val="32"/>
          <w:szCs w:val="40"/>
        </w:rPr>
        <w:t>建设</w:t>
      </w:r>
      <w:r>
        <w:rPr>
          <w:rFonts w:hint="eastAsia" w:ascii="Times New Roman" w:hAnsi="Times New Roman" w:eastAsia="仿宋_GB2312"/>
          <w:b/>
          <w:sz w:val="32"/>
          <w:szCs w:val="40"/>
        </w:rPr>
        <w:t>高水平</w:t>
      </w:r>
      <w:r>
        <w:rPr>
          <w:rFonts w:ascii="Times New Roman" w:hAnsi="Times New Roman" w:eastAsia="仿宋_GB2312"/>
          <w:b/>
          <w:sz w:val="32"/>
          <w:szCs w:val="40"/>
        </w:rPr>
        <w:t>教师队伍。</w:t>
      </w:r>
      <w:r>
        <w:rPr>
          <w:rFonts w:hint="eastAsia" w:ascii="Times New Roman" w:hAnsi="Times New Roman" w:eastAsia="仿宋_GB2312"/>
          <w:sz w:val="32"/>
          <w:szCs w:val="40"/>
        </w:rPr>
        <w:t>加强师德师风建设，培养新时代高素质教师队伍</w:t>
      </w:r>
      <w:r>
        <w:rPr>
          <w:rFonts w:ascii="Times New Roman" w:hAnsi="Times New Roman" w:eastAsia="仿宋_GB2312"/>
          <w:bCs/>
          <w:color w:val="000000" w:themeColor="text1"/>
          <w:sz w:val="32"/>
          <w:szCs w:val="32"/>
        </w:rPr>
        <w:t>。</w:t>
      </w:r>
      <w:r>
        <w:rPr>
          <w:rFonts w:hint="eastAsia" w:ascii="Times New Roman" w:hAnsi="Times New Roman" w:eastAsia="仿宋_GB2312"/>
          <w:bCs/>
          <w:color w:val="000000" w:themeColor="text1"/>
          <w:sz w:val="32"/>
          <w:szCs w:val="32"/>
        </w:rPr>
        <w:t>完善教师</w:t>
      </w:r>
      <w:r>
        <w:rPr>
          <w:rFonts w:ascii="Times New Roman" w:hAnsi="Times New Roman" w:eastAsia="仿宋_GB2312"/>
          <w:bCs/>
          <w:color w:val="000000" w:themeColor="text1"/>
          <w:sz w:val="32"/>
          <w:szCs w:val="32"/>
        </w:rPr>
        <w:t>“县管校聘</w:t>
      </w:r>
      <w:r>
        <w:rPr>
          <w:rFonts w:hint="eastAsia" w:ascii="Times New Roman" w:hAnsi="Times New Roman" w:eastAsia="仿宋_GB2312"/>
          <w:bCs/>
          <w:color w:val="000000" w:themeColor="text1"/>
          <w:sz w:val="32"/>
          <w:szCs w:val="32"/>
        </w:rPr>
        <w:t>”和职称“周转池”制度，</w:t>
      </w:r>
      <w:r>
        <w:rPr>
          <w:rFonts w:ascii="Times New Roman" w:hAnsi="Times New Roman" w:eastAsia="仿宋_GB2312"/>
          <w:bCs/>
          <w:color w:val="000000" w:themeColor="text1"/>
          <w:sz w:val="32"/>
          <w:szCs w:val="32"/>
        </w:rPr>
        <w:t>优化中小学教师编制结构。</w:t>
      </w:r>
      <w:r>
        <w:rPr>
          <w:rFonts w:hint="eastAsia" w:ascii="Times New Roman" w:hAnsi="Times New Roman" w:eastAsia="仿宋_GB2312"/>
          <w:bCs/>
          <w:color w:val="000000" w:themeColor="text1"/>
          <w:sz w:val="32"/>
          <w:szCs w:val="32"/>
        </w:rPr>
        <w:t>进一步完善“合格教师—骨干教师—桐城名师”梯次攀升的发展体系，搭建教师成长平台，推动青年教师快速成长为教学骨干，到2025年，新增</w:t>
      </w:r>
      <w:r>
        <w:rPr>
          <w:rFonts w:hint="eastAsia" w:ascii="Times New Roman" w:hAnsi="Times New Roman" w:eastAsia="仿宋_GB2312"/>
          <w:bCs/>
          <w:color w:val="000000" w:themeColor="text1"/>
          <w:sz w:val="32"/>
          <w:szCs w:val="32"/>
          <w:lang w:val="en-US" w:eastAsia="zh-CN"/>
        </w:rPr>
        <w:t>3</w:t>
      </w:r>
      <w:r>
        <w:rPr>
          <w:rFonts w:hint="eastAsia" w:ascii="Times New Roman" w:hAnsi="Times New Roman" w:eastAsia="仿宋_GB2312"/>
          <w:bCs/>
          <w:color w:val="000000" w:themeColor="text1"/>
          <w:sz w:val="32"/>
          <w:szCs w:val="32"/>
        </w:rPr>
        <w:t>个名师工作室，培养</w:t>
      </w:r>
      <w:r>
        <w:rPr>
          <w:rFonts w:hint="eastAsia" w:ascii="Times New Roman" w:hAnsi="Times New Roman" w:eastAsia="仿宋_GB2312"/>
          <w:bCs/>
          <w:color w:val="000000" w:themeColor="text1"/>
          <w:sz w:val="32"/>
          <w:szCs w:val="32"/>
          <w:lang w:val="en-US" w:eastAsia="zh-CN"/>
        </w:rPr>
        <w:t>1</w:t>
      </w:r>
      <w:r>
        <w:rPr>
          <w:rFonts w:hint="eastAsia" w:ascii="Times New Roman" w:hAnsi="Times New Roman" w:eastAsia="仿宋_GB2312"/>
          <w:bCs/>
          <w:color w:val="000000" w:themeColor="text1"/>
          <w:sz w:val="32"/>
          <w:szCs w:val="32"/>
        </w:rPr>
        <w:t>个省级教学名师和名师团队。进一步完善教师培养激励机制，激发工作热情。</w:t>
      </w:r>
      <w:r>
        <w:rPr>
          <w:rFonts w:ascii="Times New Roman" w:hAnsi="Times New Roman" w:eastAsia="仿宋_GB2312"/>
          <w:bCs/>
          <w:sz w:val="32"/>
          <w:szCs w:val="32"/>
        </w:rPr>
        <w:t>强化</w:t>
      </w:r>
      <w:r>
        <w:rPr>
          <w:rFonts w:ascii="Times New Roman" w:hAnsi="Times New Roman" w:eastAsia="仿宋_GB2312"/>
          <w:bCs/>
          <w:color w:val="000000" w:themeColor="text1"/>
          <w:sz w:val="32"/>
          <w:szCs w:val="32"/>
        </w:rPr>
        <w:t>教师工资待遇保障，确保义务教育教师平均工资收入水平不低于当地公务员平均工资收入水平。</w:t>
      </w:r>
    </w:p>
    <w:p w14:paraId="3828D0BB">
      <w:pPr>
        <w:ind w:firstLine="643" w:firstLineChars="200"/>
        <w:rPr>
          <w:rFonts w:hint="eastAsia" w:ascii="Times New Roman" w:hAnsi="Times New Roman" w:eastAsia="仿宋_GB2312"/>
          <w:sz w:val="32"/>
          <w:szCs w:val="32"/>
        </w:rPr>
      </w:pPr>
      <w:r>
        <w:rPr>
          <w:rFonts w:ascii="Times New Roman" w:hAnsi="Times New Roman" w:eastAsia="仿宋_GB2312"/>
          <w:b/>
          <w:sz w:val="32"/>
          <w:szCs w:val="32"/>
        </w:rPr>
        <w:t>加强智慧学校建设</w:t>
      </w:r>
      <w:r>
        <w:rPr>
          <w:rFonts w:ascii="Times New Roman" w:hAnsi="Times New Roman" w:eastAsia="仿宋_GB2312"/>
          <w:sz w:val="32"/>
          <w:szCs w:val="32"/>
        </w:rPr>
        <w:t>。实施教育信息化2.0行动，</w:t>
      </w:r>
      <w:r>
        <w:rPr>
          <w:rFonts w:hint="eastAsia" w:ascii="Times New Roman" w:hAnsi="Times New Roman" w:eastAsia="仿宋_GB2312"/>
          <w:sz w:val="32"/>
          <w:szCs w:val="32"/>
        </w:rPr>
        <w:t>全面落实桐城智慧教育规划，构建“5项基本功能+2项支撑条件”的智慧学校结构，</w:t>
      </w:r>
      <w:r>
        <w:rPr>
          <w:rFonts w:ascii="Times New Roman" w:hAnsi="Times New Roman" w:eastAsia="仿宋_GB2312"/>
          <w:sz w:val="32"/>
          <w:szCs w:val="32"/>
        </w:rPr>
        <w:t>推进信息技术与教育教学融合创新。</w:t>
      </w:r>
      <w:r>
        <w:rPr>
          <w:rFonts w:hint="eastAsia" w:ascii="Times New Roman" w:hAnsi="Times New Roman" w:eastAsia="仿宋_GB2312"/>
          <w:sz w:val="32"/>
          <w:szCs w:val="32"/>
        </w:rPr>
        <w:t>深入推进“三通两平台”建设与应用，加强智慧教学智能终端及配套系统配备，</w:t>
      </w:r>
      <w:r>
        <w:rPr>
          <w:rFonts w:ascii="Times New Roman" w:hAnsi="Times New Roman" w:eastAsia="仿宋_GB2312"/>
          <w:sz w:val="32"/>
          <w:szCs w:val="32"/>
        </w:rPr>
        <w:t>广泛开展智慧课堂、未来教室、网络学习空间、创新实训室等</w:t>
      </w:r>
      <w:r>
        <w:rPr>
          <w:rFonts w:hint="eastAsia" w:ascii="Times New Roman" w:hAnsi="Times New Roman" w:eastAsia="仿宋_GB2312"/>
          <w:sz w:val="32"/>
          <w:szCs w:val="32"/>
        </w:rPr>
        <w:t>。</w:t>
      </w:r>
      <w:r>
        <w:rPr>
          <w:rFonts w:ascii="Times New Roman" w:hAnsi="Times New Roman" w:eastAsia="仿宋_GB2312"/>
          <w:sz w:val="32"/>
          <w:szCs w:val="32"/>
        </w:rPr>
        <w:t>加强教师信息技术应用能力培训，开展资源平台应用、在线课堂、乡村教师网络研修等专题培训。</w:t>
      </w:r>
      <w:r>
        <w:rPr>
          <w:rFonts w:hint="eastAsia" w:ascii="Times New Roman" w:hAnsi="Times New Roman" w:eastAsia="仿宋_GB2312"/>
          <w:sz w:val="32"/>
          <w:szCs w:val="32"/>
        </w:rPr>
        <w:t>加强教育装备工作，提升教育考试招生信息化建设水平。</w:t>
      </w:r>
    </w:p>
    <w:p w14:paraId="3353087F">
      <w:pPr>
        <w:pStyle w:val="2"/>
      </w:pPr>
    </w:p>
    <w:p w14:paraId="60DE3E03">
      <w:pPr>
        <w:tabs>
          <w:tab w:val="left" w:pos="1140"/>
          <w:tab w:val="center" w:pos="4153"/>
        </w:tabs>
        <w:spacing w:before="100" w:beforeAutospacing="1" w:after="100" w:afterAutospacing="1"/>
        <w:jc w:val="center"/>
        <w:outlineLvl w:val="1"/>
        <w:rPr>
          <w:rFonts w:ascii="Times New Roman" w:hAnsi="Times New Roman" w:eastAsia="黑体"/>
          <w:sz w:val="32"/>
          <w:szCs w:val="32"/>
        </w:rPr>
      </w:pPr>
      <w:bookmarkStart w:id="92" w:name="_Toc30356"/>
      <w:bookmarkStart w:id="93" w:name="_Toc53003471"/>
      <w:r>
        <w:rPr>
          <w:rFonts w:ascii="Times New Roman" w:hAnsi="Times New Roman" w:eastAsia="黑体"/>
          <w:sz w:val="32"/>
          <w:szCs w:val="32"/>
        </w:rPr>
        <w:t>第二节</w:t>
      </w:r>
      <w:r>
        <w:rPr>
          <w:rFonts w:hint="eastAsia" w:ascii="Times New Roman" w:hAnsi="Times New Roman" w:eastAsia="黑体"/>
          <w:sz w:val="32"/>
          <w:szCs w:val="32"/>
          <w:lang w:val="en-US" w:eastAsia="zh-CN"/>
        </w:rPr>
        <w:t xml:space="preserve"> </w:t>
      </w:r>
      <w:r>
        <w:rPr>
          <w:rFonts w:hint="eastAsia" w:ascii="Times New Roman" w:hAnsi="Times New Roman" w:eastAsia="黑体"/>
          <w:sz w:val="32"/>
          <w:szCs w:val="32"/>
        </w:rPr>
        <w:t>繁荣发展文化事业</w:t>
      </w:r>
      <w:bookmarkEnd w:id="92"/>
      <w:bookmarkEnd w:id="93"/>
    </w:p>
    <w:p w14:paraId="4C33D5E8">
      <w:pPr>
        <w:ind w:firstLine="643" w:firstLineChars="200"/>
        <w:rPr>
          <w:rFonts w:hint="eastAsia" w:ascii="Times New Roman" w:hAnsi="Times New Roman" w:eastAsia="仿宋_GB2312"/>
          <w:bCs/>
          <w:sz w:val="32"/>
          <w:szCs w:val="32"/>
        </w:rPr>
      </w:pPr>
      <w:r>
        <w:rPr>
          <w:rFonts w:hint="eastAsia" w:ascii="Times New Roman" w:hAnsi="Times New Roman" w:eastAsia="仿宋_GB2312"/>
          <w:b/>
          <w:bCs/>
          <w:sz w:val="32"/>
          <w:szCs w:val="32"/>
        </w:rPr>
        <w:t>加强传统文化保护传承</w:t>
      </w:r>
      <w:r>
        <w:rPr>
          <w:rFonts w:ascii="Times New Roman" w:hAnsi="Times New Roman" w:eastAsia="仿宋_GB2312"/>
          <w:bCs/>
          <w:sz w:val="32"/>
          <w:szCs w:val="32"/>
        </w:rPr>
        <w:t>。</w:t>
      </w:r>
      <w:r>
        <w:rPr>
          <w:rFonts w:hint="eastAsia" w:ascii="Times New Roman" w:hAnsi="Times New Roman" w:eastAsia="仿宋_GB2312"/>
          <w:bCs/>
          <w:sz w:val="32"/>
          <w:szCs w:val="32"/>
        </w:rPr>
        <w:t>加强文物保护、研究和利用，完善预防和打击文物违法犯罪活动长效工作机制，严厉打击破坏文物的犯罪活动。强化重要文化和自然遗产、非物质文化遗产系统性保护，深入开展非物质文化遗产资源普查，持续推进桐城歌（渔歌）等濒危项目抢救性记录和60岁以上传承人口述史记录工程。完善和丰富桐城市非遗四级名录体系、传统工艺名录，扎实开展非物质文化遗产项目管理提升计划，积极申报国家级、省级非遗项目，推进文化传承生态保护区创建。持续开展“青少年走进文化馆、博物馆”“文化遗产保护进校园”等主题活动，积极推进文化遗产保护校园传习基地建设。</w:t>
      </w:r>
      <w:r>
        <w:rPr>
          <w:rFonts w:ascii="Times New Roman" w:hAnsi="Times New Roman" w:eastAsia="仿宋_GB2312"/>
          <w:sz w:val="32"/>
          <w:szCs w:val="32"/>
        </w:rPr>
        <w:t>加强对桐城文化的研究阐释工作，搭建高水平研究交流平台，坚持古为今用，拓宽研究领域，针对当今问题提供学理、思想和智力支持。</w:t>
      </w:r>
      <w:r>
        <w:rPr>
          <w:rFonts w:hint="eastAsia" w:ascii="Times New Roman" w:hAnsi="Times New Roman" w:eastAsia="仿宋_GB2312"/>
          <w:sz w:val="32"/>
          <w:szCs w:val="32"/>
        </w:rPr>
        <w:t>积极申报国家历史文化名城。</w:t>
      </w:r>
      <w:r>
        <w:rPr>
          <w:rFonts w:hint="eastAsia" w:ascii="Times New Roman" w:hAnsi="Times New Roman" w:eastAsia="仿宋_GB2312"/>
          <w:bCs/>
          <w:sz w:val="32"/>
          <w:szCs w:val="32"/>
        </w:rPr>
        <w:t>丰富优秀文化艺术作品供给，着力打造文艺精品，新创黄梅戏《风雪欧家岭》《方以智》，拍摄纪录片《桐城派》，谋划开展面向全国的“桐城散文奖”评选</w:t>
      </w:r>
      <w:r>
        <w:rPr>
          <w:rFonts w:hint="eastAsia" w:ascii="Times New Roman" w:hAnsi="Times New Roman" w:eastAsia="仿宋_GB2312"/>
          <w:bCs/>
          <w:sz w:val="32"/>
          <w:szCs w:val="32"/>
          <w:lang w:eastAsia="zh-CN"/>
        </w:rPr>
        <w:t>，</w:t>
      </w:r>
      <w:r>
        <w:rPr>
          <w:rFonts w:hint="eastAsia" w:ascii="Times New Roman" w:hAnsi="Times New Roman" w:eastAsia="仿宋_GB2312"/>
          <w:bCs/>
          <w:sz w:val="32"/>
          <w:szCs w:val="32"/>
          <w:lang w:val="en-US" w:eastAsia="zh-CN"/>
        </w:rPr>
        <w:t>积极创建文学之乡品牌。</w:t>
      </w:r>
    </w:p>
    <w:p w14:paraId="1353CA6B">
      <w:pPr>
        <w:pStyle w:val="9"/>
        <w:ind w:firstLine="643"/>
        <w:rPr>
          <w:rFonts w:ascii="Times New Roman" w:hAnsi="Times New Roman" w:eastAsia="仿宋_GB2312"/>
          <w:b/>
          <w:sz w:val="32"/>
          <w:szCs w:val="32"/>
        </w:rPr>
      </w:pPr>
      <w:r>
        <w:rPr>
          <w:rFonts w:hint="eastAsia" w:ascii="Times New Roman" w:hAnsi="Times New Roman" w:eastAsia="仿宋_GB2312"/>
          <w:b/>
          <w:sz w:val="32"/>
          <w:szCs w:val="32"/>
        </w:rPr>
        <w:t>加快新闻出版广电事业发展。</w:t>
      </w:r>
      <w:r>
        <w:rPr>
          <w:rFonts w:hint="eastAsia" w:ascii="Times New Roman" w:hAnsi="Times New Roman" w:eastAsia="仿宋_GB2312"/>
          <w:sz w:val="32"/>
          <w:szCs w:val="32"/>
        </w:rPr>
        <w:t>积极推动媒体融合，做好桐城发展宣传，讲好桐城故事，打好文化牌。全力拓展网络和新媒体业务，大力培育以数字化产品、网络化传播、个性化服务为核心的网络视听产业。实施广播电视节目无线数字化覆盖工程，建成三级农村广播系统，大力发展数字影视，推进黄梅戏电影电视创作。强化印刷业技术工艺、服务内容、商业模式和业态升级创新，培育“专精特新”优势印刷企业，争创国家级包装装潢印刷产业示范园区。支持实体书店创新商业模式和经营业态，打造一批“最美书店”，培育城市文化地标。</w:t>
      </w:r>
    </w:p>
    <w:p w14:paraId="4BB9778C">
      <w:pPr>
        <w:ind w:firstLine="643" w:firstLineChars="200"/>
        <w:rPr>
          <w:rFonts w:hint="eastAsia" w:ascii="Times New Roman" w:hAnsi="Times New Roman" w:eastAsia="仿宋_GB2312"/>
          <w:sz w:val="32"/>
          <w:szCs w:val="32"/>
        </w:rPr>
      </w:pPr>
      <w:r>
        <w:rPr>
          <w:rFonts w:ascii="Times New Roman" w:hAnsi="Times New Roman" w:eastAsia="仿宋_GB2312"/>
          <w:b/>
          <w:sz w:val="32"/>
          <w:szCs w:val="32"/>
        </w:rPr>
        <w:t>完善公共文化服务体系。</w:t>
      </w:r>
      <w:r>
        <w:rPr>
          <w:rFonts w:ascii="Times New Roman" w:hAnsi="Times New Roman" w:eastAsia="仿宋_GB2312"/>
          <w:sz w:val="32"/>
          <w:szCs w:val="32"/>
        </w:rPr>
        <w:t>深入</w:t>
      </w:r>
      <w:r>
        <w:rPr>
          <w:rFonts w:hint="eastAsia" w:ascii="Times New Roman" w:hAnsi="Times New Roman" w:eastAsia="仿宋_GB2312"/>
          <w:sz w:val="32"/>
          <w:szCs w:val="32"/>
        </w:rPr>
        <w:t>实施文化惠民工程</w:t>
      </w:r>
      <w:r>
        <w:rPr>
          <w:rFonts w:ascii="Times New Roman" w:hAnsi="Times New Roman" w:eastAsia="仿宋_GB2312"/>
          <w:sz w:val="32"/>
          <w:szCs w:val="32"/>
        </w:rPr>
        <w:t>，统筹城乡公共文化设施布局，完善三级公共文化服务体系，推进优质公共文化资源向基层和乡村延伸</w:t>
      </w:r>
      <w:r>
        <w:rPr>
          <w:rFonts w:hint="eastAsia" w:ascii="Times New Roman" w:hAnsi="Times New Roman" w:eastAsia="仿宋_GB2312"/>
          <w:sz w:val="32"/>
          <w:szCs w:val="32"/>
        </w:rPr>
        <w:t>，不断</w:t>
      </w:r>
      <w:r>
        <w:rPr>
          <w:rFonts w:ascii="Times New Roman" w:hAnsi="Times New Roman" w:eastAsia="仿宋_GB2312"/>
          <w:sz w:val="32"/>
          <w:szCs w:val="32"/>
        </w:rPr>
        <w:t>缩小城乡公共文化服务差距。按照国家一级馆标准加快市文化馆、图书馆建设，</w:t>
      </w:r>
      <w:r>
        <w:rPr>
          <w:rFonts w:hint="eastAsia" w:ascii="Times New Roman" w:hAnsi="Times New Roman" w:eastAsia="仿宋_GB2312"/>
          <w:sz w:val="32"/>
          <w:szCs w:val="32"/>
        </w:rPr>
        <w:t>推动市</w:t>
      </w:r>
      <w:r>
        <w:rPr>
          <w:rFonts w:ascii="Times New Roman" w:hAnsi="Times New Roman" w:eastAsia="仿宋_GB2312"/>
          <w:sz w:val="32"/>
          <w:szCs w:val="32"/>
        </w:rPr>
        <w:t>博物馆争创国家二级馆，加强</w:t>
      </w:r>
      <w:r>
        <w:rPr>
          <w:rFonts w:hint="eastAsia" w:ascii="Times New Roman" w:hAnsi="Times New Roman" w:eastAsia="仿宋_GB2312"/>
          <w:sz w:val="32"/>
          <w:szCs w:val="32"/>
        </w:rPr>
        <w:t>公共文化设施维护、管理和使用，提升服务水平，提高利用率和使用效益。</w:t>
      </w:r>
      <w:r>
        <w:rPr>
          <w:rFonts w:ascii="Times New Roman" w:hAnsi="Times New Roman" w:eastAsia="仿宋_GB2312"/>
          <w:sz w:val="32"/>
          <w:szCs w:val="32"/>
        </w:rPr>
        <w:t>完善农村文化基础设施网络，推动全市15个镇街综合文化站升级为镇街综合文化服务中心，所有村建成村级文化服务中心。</w:t>
      </w:r>
      <w:r>
        <w:rPr>
          <w:rFonts w:hint="eastAsia" w:ascii="Times New Roman" w:hAnsi="Times New Roman" w:eastAsia="仿宋_GB2312"/>
          <w:sz w:val="32"/>
          <w:szCs w:val="32"/>
        </w:rPr>
        <w:t>加快推进公共文化数字化，建设数字图书馆、数字博物馆和数字文化馆。常态化开展全民阅读活动，营造“多读书、读好书、好读书”的良好氛围，打造“书香桐城”品牌。广泛开展积极向上、丰富多彩的群众性娱乐活动，着力满足人民群众不断增长的精神文化需求。积极争创全国科普示范市。</w:t>
      </w:r>
    </w:p>
    <w:p w14:paraId="28127B3D">
      <w:pPr>
        <w:pStyle w:val="2"/>
        <w:rPr>
          <w:rFonts w:hint="eastAsia" w:ascii="Times New Roman" w:hAnsi="Times New Roman" w:eastAsia="仿宋_GB2312"/>
          <w:sz w:val="32"/>
          <w:szCs w:val="32"/>
        </w:rPr>
      </w:pPr>
    </w:p>
    <w:p w14:paraId="4D640E0A">
      <w:pPr>
        <w:rPr>
          <w:rFonts w:hint="eastAsia"/>
        </w:rPr>
      </w:pPr>
    </w:p>
    <w:p w14:paraId="2E15E822">
      <w:pPr>
        <w:spacing w:before="240" w:beforeAutospacing="1" w:after="240" w:afterAutospacing="1" w:line="570" w:lineRule="exact"/>
        <w:jc w:val="center"/>
        <w:outlineLvl w:val="1"/>
        <w:rPr>
          <w:rFonts w:ascii="Times New Roman" w:hAnsi="Times New Roman" w:eastAsia="黑体"/>
          <w:sz w:val="32"/>
          <w:szCs w:val="32"/>
        </w:rPr>
      </w:pPr>
      <w:bookmarkStart w:id="94" w:name="_Toc14724"/>
      <w:bookmarkStart w:id="95" w:name="_Toc30238"/>
      <w:r>
        <w:rPr>
          <w:rFonts w:hint="eastAsia" w:ascii="Times New Roman" w:hAnsi="Times New Roman" w:eastAsia="黑体"/>
          <w:sz w:val="32"/>
          <w:szCs w:val="32"/>
        </w:rPr>
        <w:t>第三节 提高人民收入水平</w:t>
      </w:r>
      <w:bookmarkEnd w:id="94"/>
      <w:bookmarkEnd w:id="95"/>
    </w:p>
    <w:p w14:paraId="5E09E55B">
      <w:pPr>
        <w:ind w:firstLine="643" w:firstLineChars="200"/>
        <w:rPr>
          <w:rFonts w:ascii="Times New Roman" w:hAnsi="Times New Roman" w:eastAsia="仿宋_GB2312"/>
          <w:bCs/>
          <w:sz w:val="32"/>
          <w:szCs w:val="32"/>
        </w:rPr>
      </w:pPr>
      <w:r>
        <w:rPr>
          <w:rFonts w:ascii="Times New Roman" w:hAnsi="Times New Roman" w:eastAsia="仿宋_GB2312"/>
          <w:b/>
          <w:bCs/>
          <w:sz w:val="32"/>
          <w:szCs w:val="32"/>
        </w:rPr>
        <w:t>落实收入分配制度</w:t>
      </w:r>
      <w:r>
        <w:rPr>
          <w:rFonts w:hint="eastAsia" w:ascii="Times New Roman" w:hAnsi="Times New Roman" w:eastAsia="仿宋_GB2312"/>
          <w:b/>
          <w:bCs/>
          <w:sz w:val="32"/>
          <w:szCs w:val="32"/>
        </w:rPr>
        <w:t>。</w:t>
      </w:r>
      <w:r>
        <w:rPr>
          <w:rFonts w:ascii="Times New Roman" w:hAnsi="Times New Roman" w:eastAsia="仿宋_GB2312"/>
          <w:bCs/>
          <w:sz w:val="32"/>
          <w:szCs w:val="32"/>
        </w:rPr>
        <w:t>坚持多劳多得，着重保护劳动所得，增加劳动者特别是一线劳动者劳动报酬，在经济增长的同时实现居民收入同步增长。鼓励企事业单位实行灵活多样的分配形式，推进国有企业负责人薪酬制度和工资决定机制改革，推动符合条件的国有企业实施科技型股权分红激励</w:t>
      </w:r>
      <w:r>
        <w:rPr>
          <w:rFonts w:hint="eastAsia" w:ascii="Times New Roman" w:hAnsi="Times New Roman" w:eastAsia="仿宋_GB2312"/>
          <w:bCs/>
          <w:sz w:val="32"/>
          <w:szCs w:val="32"/>
        </w:rPr>
        <w:t>，完善开发区发展绩效与薪酬挂钩机制。</w:t>
      </w:r>
    </w:p>
    <w:p w14:paraId="3F8111C3">
      <w:pPr>
        <w:ind w:firstLine="643" w:firstLineChars="200"/>
      </w:pPr>
      <w:r>
        <w:rPr>
          <w:rFonts w:hint="eastAsia" w:ascii="Times New Roman" w:hAnsi="Times New Roman" w:eastAsia="仿宋_GB2312"/>
          <w:b/>
          <w:bCs/>
          <w:sz w:val="32"/>
          <w:szCs w:val="32"/>
        </w:rPr>
        <w:t>多措并举提高收入。</w:t>
      </w:r>
      <w:r>
        <w:rPr>
          <w:rFonts w:hint="eastAsia" w:ascii="Times New Roman" w:hAnsi="Times New Roman" w:eastAsia="仿宋_GB2312"/>
          <w:bCs/>
          <w:sz w:val="32"/>
          <w:szCs w:val="32"/>
        </w:rPr>
        <w:t>鼓励引导低收入群体提升人力资本，主动开展生产经营，积极参加生产劳动，通过自身努力增收致富。进一步提升农村集体经济经营性收入和农民财产性收入，着力推动农民收入持续增长。根治拖欠农民工工资问题。着力扩大中等收入群体，激发技能人才、新型职业农民、小微创业者等重点群体活力，带动城乡中等收入群体扩围增收。合理调节过高收入，取缔非法收入。</w:t>
      </w:r>
    </w:p>
    <w:p w14:paraId="27B7C71E">
      <w:pPr>
        <w:tabs>
          <w:tab w:val="left" w:pos="1140"/>
          <w:tab w:val="center" w:pos="4153"/>
        </w:tabs>
        <w:spacing w:before="100" w:beforeAutospacing="1" w:after="100" w:afterAutospacing="1"/>
        <w:jc w:val="center"/>
        <w:outlineLvl w:val="1"/>
        <w:rPr>
          <w:rFonts w:ascii="Times New Roman" w:hAnsi="Times New Roman" w:eastAsia="黑体"/>
          <w:sz w:val="32"/>
          <w:szCs w:val="32"/>
        </w:rPr>
      </w:pPr>
      <w:bookmarkStart w:id="96" w:name="_Toc9419"/>
      <w:bookmarkStart w:id="97" w:name="_Toc53003475"/>
      <w:bookmarkStart w:id="98" w:name="_Toc53003472"/>
      <w:r>
        <w:rPr>
          <w:rFonts w:ascii="Times New Roman" w:hAnsi="Times New Roman" w:eastAsia="黑体"/>
          <w:sz w:val="32"/>
          <w:szCs w:val="32"/>
        </w:rPr>
        <w:t>第</w:t>
      </w:r>
      <w:r>
        <w:rPr>
          <w:rFonts w:hint="eastAsia" w:ascii="Times New Roman" w:hAnsi="Times New Roman" w:eastAsia="黑体"/>
          <w:sz w:val="32"/>
          <w:szCs w:val="32"/>
          <w:lang w:val="en-US" w:eastAsia="zh-CN"/>
        </w:rPr>
        <w:t>四</w:t>
      </w:r>
      <w:r>
        <w:rPr>
          <w:rFonts w:ascii="Times New Roman" w:hAnsi="Times New Roman" w:eastAsia="黑体"/>
          <w:sz w:val="32"/>
          <w:szCs w:val="32"/>
        </w:rPr>
        <w:t>节</w:t>
      </w:r>
      <w:r>
        <w:rPr>
          <w:rFonts w:hint="eastAsia" w:ascii="Times New Roman" w:hAnsi="Times New Roman" w:eastAsia="黑体"/>
          <w:sz w:val="32"/>
          <w:szCs w:val="32"/>
          <w:lang w:val="en-US" w:eastAsia="zh-CN"/>
        </w:rPr>
        <w:t xml:space="preserve"> </w:t>
      </w:r>
      <w:r>
        <w:rPr>
          <w:rFonts w:hint="eastAsia" w:ascii="Times New Roman" w:hAnsi="Times New Roman" w:eastAsia="黑体"/>
          <w:sz w:val="32"/>
          <w:szCs w:val="32"/>
        </w:rPr>
        <w:t>强化就业优先政策</w:t>
      </w:r>
      <w:bookmarkEnd w:id="96"/>
      <w:bookmarkEnd w:id="97"/>
    </w:p>
    <w:p w14:paraId="4413EB99">
      <w:pPr>
        <w:ind w:firstLine="643" w:firstLineChars="200"/>
        <w:rPr>
          <w:rFonts w:ascii="Times New Roman" w:hAnsi="Times New Roman" w:eastAsia="仿宋_GB2312"/>
          <w:bCs/>
          <w:sz w:val="32"/>
          <w:szCs w:val="32"/>
        </w:rPr>
      </w:pPr>
      <w:r>
        <w:rPr>
          <w:rFonts w:hint="eastAsia" w:ascii="Times New Roman" w:hAnsi="Times New Roman" w:eastAsia="仿宋_GB2312"/>
          <w:b/>
          <w:bCs/>
          <w:sz w:val="32"/>
          <w:szCs w:val="32"/>
        </w:rPr>
        <w:t>坚持稳定和扩大就业</w:t>
      </w:r>
      <w:r>
        <w:rPr>
          <w:rFonts w:ascii="Times New Roman" w:hAnsi="Times New Roman" w:eastAsia="仿宋_GB2312"/>
          <w:b/>
          <w:bCs/>
          <w:sz w:val="32"/>
          <w:szCs w:val="32"/>
        </w:rPr>
        <w:t>。</w:t>
      </w:r>
      <w:r>
        <w:rPr>
          <w:rFonts w:hint="eastAsia" w:ascii="Times New Roman" w:hAnsi="Times New Roman" w:eastAsia="仿宋_GB2312"/>
          <w:bCs/>
          <w:sz w:val="32"/>
          <w:szCs w:val="32"/>
        </w:rPr>
        <w:t>坚持经济发展的就业导向，提升就业质量，促进充分就业。统筹发展资本、技术、知识密集型产业和劳动密集型产业，创造更多就业岗位。鼓励各类企业更多吸纳就业，稳定并扩大就业规模。加强对灵活就业、新就业形态的政策支持，鼓励劳动者自主创业、提高就业质量。实施城乡统一的就业失业登记和就业援助扶持制度，做好农民工、高校毕业生、下岗失业人员、贫困劳动力、退役军人、残疾人等群体就业援助和托底帮扶。落实就业技能培训、创业培训、项目制培训等培训扶持政策。</w:t>
      </w:r>
    </w:p>
    <w:p w14:paraId="7879B5FD">
      <w:pPr>
        <w:ind w:firstLine="643" w:firstLineChars="200"/>
        <w:rPr>
          <w:rFonts w:ascii="Times New Roman" w:hAnsi="Times New Roman" w:eastAsia="仿宋_GB2312"/>
          <w:bCs/>
          <w:sz w:val="32"/>
          <w:szCs w:val="32"/>
        </w:rPr>
      </w:pPr>
      <w:r>
        <w:rPr>
          <w:rFonts w:hint="eastAsia" w:ascii="Times New Roman" w:hAnsi="Times New Roman" w:eastAsia="仿宋_GB2312"/>
          <w:b/>
          <w:bCs/>
          <w:sz w:val="32"/>
          <w:szCs w:val="32"/>
        </w:rPr>
        <w:t>大力培育创业就业平台。</w:t>
      </w:r>
      <w:r>
        <w:rPr>
          <w:rFonts w:hint="eastAsia" w:ascii="Times New Roman" w:hAnsi="Times New Roman" w:eastAsia="仿宋_GB2312"/>
          <w:bCs/>
          <w:sz w:val="32"/>
          <w:szCs w:val="32"/>
        </w:rPr>
        <w:t>深入开展大众创业、万众创新，完善就业促进政策，建立城乡统筹、部门联动、政策支持、社会参与和服务多样的创业带动就业机制。充分发挥省级青年创业园、返乡农民创业示范园等新型创业平台、孵化园（基地）带动作用，促进产业资源、创业资本、高端人才等创业创新要素和各类服务向平台聚集。支持和鼓励成立返乡企业家联盟，带动桐城籍企业家返乡再创业、再发展。</w:t>
      </w:r>
      <w:r>
        <w:rPr>
          <w:rFonts w:ascii="Times New Roman" w:hAnsi="Times New Roman" w:eastAsia="仿宋_GB2312"/>
          <w:bCs/>
          <w:sz w:val="32"/>
          <w:szCs w:val="32"/>
        </w:rPr>
        <w:t>推进基层就业公共服务体系建设，提高管理水平和服务效率，健全覆盖城乡、功能齐全、布局合理、方便可及的公共就业创业服务网络。</w:t>
      </w:r>
      <w:r>
        <w:rPr>
          <w:rFonts w:hint="eastAsia" w:ascii="Times New Roman" w:hAnsi="Times New Roman" w:eastAsia="仿宋_GB2312"/>
          <w:bCs/>
          <w:sz w:val="32"/>
          <w:szCs w:val="32"/>
        </w:rPr>
        <w:t>建立统一规范的人力资源市场，推进人力资源市场诚信体系和标准化建设，加强就业信息监测平台和就业信息公共服务平台建设。常态化</w:t>
      </w:r>
      <w:r>
        <w:rPr>
          <w:rFonts w:ascii="Times New Roman" w:hAnsi="Times New Roman" w:eastAsia="仿宋_GB2312"/>
          <w:bCs/>
          <w:sz w:val="32"/>
          <w:szCs w:val="32"/>
        </w:rPr>
        <w:t>开展“2+N”招聘活动，</w:t>
      </w:r>
      <w:r>
        <w:rPr>
          <w:rFonts w:hint="eastAsia" w:ascii="Times New Roman" w:hAnsi="Times New Roman" w:eastAsia="仿宋_GB2312"/>
          <w:bCs/>
          <w:sz w:val="32"/>
          <w:szCs w:val="32"/>
        </w:rPr>
        <w:t>积极开展创业培训、创业指导和创业服务。</w:t>
      </w:r>
    </w:p>
    <w:p w14:paraId="67F6DEB2">
      <w:pPr>
        <w:tabs>
          <w:tab w:val="left" w:pos="1140"/>
          <w:tab w:val="center" w:pos="4153"/>
        </w:tabs>
        <w:spacing w:before="100" w:beforeAutospacing="1" w:after="100" w:afterAutospacing="1"/>
        <w:jc w:val="center"/>
        <w:outlineLvl w:val="1"/>
        <w:rPr>
          <w:rFonts w:ascii="Times New Roman" w:hAnsi="Times New Roman" w:eastAsia="黑体"/>
          <w:sz w:val="32"/>
          <w:szCs w:val="32"/>
        </w:rPr>
      </w:pPr>
      <w:bookmarkStart w:id="99" w:name="_Toc18591"/>
      <w:r>
        <w:rPr>
          <w:rFonts w:ascii="Times New Roman" w:hAnsi="Times New Roman" w:eastAsia="黑体"/>
          <w:sz w:val="32"/>
          <w:szCs w:val="32"/>
        </w:rPr>
        <w:t>第</w:t>
      </w:r>
      <w:r>
        <w:rPr>
          <w:rFonts w:hint="eastAsia" w:ascii="Times New Roman" w:hAnsi="Times New Roman" w:eastAsia="黑体"/>
          <w:sz w:val="32"/>
          <w:szCs w:val="32"/>
          <w:lang w:val="en-US" w:eastAsia="zh-CN"/>
        </w:rPr>
        <w:t>五</w:t>
      </w:r>
      <w:r>
        <w:rPr>
          <w:rFonts w:ascii="Times New Roman" w:hAnsi="Times New Roman" w:eastAsia="黑体"/>
          <w:sz w:val="32"/>
          <w:szCs w:val="32"/>
        </w:rPr>
        <w:t>节</w:t>
      </w:r>
      <w:r>
        <w:rPr>
          <w:rFonts w:hint="eastAsia" w:ascii="Times New Roman" w:hAnsi="Times New Roman" w:eastAsia="黑体"/>
          <w:sz w:val="32"/>
          <w:szCs w:val="32"/>
          <w:lang w:val="en-US" w:eastAsia="zh-CN"/>
        </w:rPr>
        <w:t xml:space="preserve"> </w:t>
      </w:r>
      <w:r>
        <w:rPr>
          <w:rFonts w:ascii="Times New Roman" w:hAnsi="Times New Roman" w:eastAsia="黑体"/>
          <w:sz w:val="32"/>
          <w:szCs w:val="32"/>
        </w:rPr>
        <w:t>全力建设健康桐城</w:t>
      </w:r>
      <w:bookmarkEnd w:id="98"/>
      <w:bookmarkEnd w:id="99"/>
    </w:p>
    <w:p w14:paraId="0F975554">
      <w:pPr>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完善</w:t>
      </w:r>
      <w:r>
        <w:rPr>
          <w:rFonts w:ascii="Times New Roman" w:hAnsi="Times New Roman" w:eastAsia="仿宋_GB2312"/>
          <w:b/>
          <w:sz w:val="32"/>
          <w:szCs w:val="32"/>
        </w:rPr>
        <w:t>医疗卫生服务体系。</w:t>
      </w:r>
      <w:r>
        <w:rPr>
          <w:rFonts w:hint="eastAsia" w:ascii="Times New Roman" w:hAnsi="Times New Roman" w:eastAsia="仿宋_GB2312"/>
          <w:sz w:val="32"/>
          <w:szCs w:val="32"/>
        </w:rPr>
        <w:t>加快优质医疗资源扩容和区域均衡布局，</w:t>
      </w:r>
      <w:r>
        <w:rPr>
          <w:rFonts w:ascii="Times New Roman" w:hAnsi="Times New Roman" w:eastAsia="仿宋_GB2312"/>
          <w:sz w:val="32"/>
          <w:szCs w:val="32"/>
        </w:rPr>
        <w:t>建立健全</w:t>
      </w:r>
      <w:r>
        <w:rPr>
          <w:rFonts w:hint="eastAsia" w:ascii="Times New Roman" w:hAnsi="Times New Roman" w:eastAsia="仿宋_GB2312"/>
          <w:sz w:val="32"/>
          <w:szCs w:val="32"/>
        </w:rPr>
        <w:t>城乡</w:t>
      </w:r>
      <w:r>
        <w:rPr>
          <w:rFonts w:ascii="Times New Roman" w:hAnsi="Times New Roman" w:eastAsia="仿宋_GB2312"/>
          <w:sz w:val="32"/>
          <w:szCs w:val="32"/>
        </w:rPr>
        <w:t>三级医疗卫生服务网</w:t>
      </w:r>
      <w:r>
        <w:rPr>
          <w:rFonts w:hint="eastAsia" w:ascii="Times New Roman" w:hAnsi="Times New Roman" w:eastAsia="仿宋_GB2312"/>
          <w:sz w:val="32"/>
          <w:szCs w:val="32"/>
        </w:rPr>
        <w:t>，</w:t>
      </w:r>
      <w:r>
        <w:rPr>
          <w:rFonts w:hint="eastAsia" w:ascii="Times New Roman" w:hAnsi="Times New Roman" w:eastAsia="仿宋_GB2312"/>
          <w:color w:val="000000" w:themeColor="text1"/>
          <w:sz w:val="32"/>
          <w:szCs w:val="40"/>
        </w:rPr>
        <w:t>推进紧密型县域医共体建设</w:t>
      </w:r>
      <w:r>
        <w:rPr>
          <w:rFonts w:hint="eastAsia" w:ascii="Times New Roman" w:hAnsi="Times New Roman" w:eastAsia="仿宋_GB2312"/>
          <w:sz w:val="32"/>
          <w:szCs w:val="32"/>
        </w:rPr>
        <w:t>，落实分级诊疗工作</w:t>
      </w:r>
      <w:r>
        <w:rPr>
          <w:rFonts w:hint="eastAsia" w:ascii="仿宋_GB2312" w:hAnsi="仿宋_GB2312" w:eastAsia="仿宋_GB2312" w:cs="仿宋_GB2312"/>
          <w:sz w:val="32"/>
          <w:szCs w:val="32"/>
        </w:rPr>
        <w:t>。</w:t>
      </w:r>
      <w:r>
        <w:rPr>
          <w:rFonts w:hint="eastAsia" w:ascii="Times New Roman" w:hAnsi="Times New Roman" w:eastAsia="仿宋_GB2312"/>
          <w:sz w:val="32"/>
          <w:szCs w:val="32"/>
        </w:rPr>
        <w:t>推动</w:t>
      </w:r>
      <w:r>
        <w:rPr>
          <w:rFonts w:hint="eastAsia" w:ascii="Times New Roman" w:hAnsi="Times New Roman" w:eastAsia="仿宋_GB2312" w:cs="楷体"/>
          <w:sz w:val="32"/>
        </w:rPr>
        <w:t>市妇幼保健计划生育服务中心</w:t>
      </w:r>
      <w:r>
        <w:rPr>
          <w:rFonts w:ascii="Times New Roman" w:hAnsi="Times New Roman" w:eastAsia="仿宋_GB2312"/>
          <w:sz w:val="32"/>
          <w:szCs w:val="32"/>
        </w:rPr>
        <w:t>、</w:t>
      </w:r>
      <w:r>
        <w:rPr>
          <w:rFonts w:hint="eastAsia" w:ascii="Times New Roman" w:hAnsi="Times New Roman" w:eastAsia="仿宋_GB2312"/>
          <w:sz w:val="32"/>
          <w:szCs w:val="32"/>
        </w:rPr>
        <w:t>市中医医院、市第三人民医院等医院扩容升级，增加高水平医疗资源供给。全面</w:t>
      </w:r>
      <w:r>
        <w:rPr>
          <w:rFonts w:hint="eastAsia" w:ascii="Times New Roman" w:hAnsi="Times New Roman" w:eastAsia="仿宋_GB2312"/>
          <w:sz w:val="32"/>
          <w:szCs w:val="40"/>
        </w:rPr>
        <w:t>改善各镇（中心）卫生院、街道社区卫生服务中心、村（居卫生室）医疗卫生基础条件和就医环境</w:t>
      </w:r>
      <w:r>
        <w:rPr>
          <w:rFonts w:hint="eastAsia" w:ascii="Times New Roman" w:hAnsi="Times New Roman" w:eastAsia="仿宋_GB2312"/>
          <w:sz w:val="32"/>
          <w:szCs w:val="40"/>
          <w:lang w:eastAsia="zh-CN"/>
        </w:rPr>
        <w:t>，</w:t>
      </w:r>
      <w:r>
        <w:rPr>
          <w:rFonts w:hint="eastAsia" w:ascii="Times New Roman" w:hAnsi="Times New Roman" w:eastAsia="仿宋_GB2312"/>
          <w:sz w:val="32"/>
          <w:szCs w:val="40"/>
        </w:rPr>
        <w:t>提高基层医疗机构服务质量。</w:t>
      </w:r>
      <w:r>
        <w:rPr>
          <w:rFonts w:hint="eastAsia" w:ascii="Times New Roman" w:hAnsi="Times New Roman" w:eastAsia="仿宋_GB2312"/>
          <w:color w:val="000000" w:themeColor="text1"/>
          <w:sz w:val="32"/>
          <w:szCs w:val="40"/>
        </w:rPr>
        <w:t>规范引导民营医院发展，引导非公立医疗机构走差异化发展道路，与公立医院形成功能互补、良性有序的市场竞争格局。采取</w:t>
      </w:r>
      <w:r>
        <w:rPr>
          <w:rFonts w:ascii="Times New Roman" w:hAnsi="Times New Roman" w:eastAsia="仿宋_GB2312"/>
          <w:sz w:val="32"/>
          <w:szCs w:val="32"/>
        </w:rPr>
        <w:t>合作办医、设立分院、委托管理等方式</w:t>
      </w:r>
      <w:r>
        <w:rPr>
          <w:rFonts w:hint="eastAsia" w:ascii="Times New Roman" w:hAnsi="Times New Roman" w:eastAsia="仿宋_GB2312"/>
          <w:sz w:val="32"/>
          <w:szCs w:val="32"/>
        </w:rPr>
        <w:t>，</w:t>
      </w:r>
      <w:r>
        <w:rPr>
          <w:rFonts w:ascii="Times New Roman" w:hAnsi="Times New Roman" w:eastAsia="仿宋_GB2312"/>
          <w:sz w:val="32"/>
          <w:szCs w:val="32"/>
        </w:rPr>
        <w:t>积极引进省内外优质医疗资源</w:t>
      </w:r>
      <w:r>
        <w:rPr>
          <w:rFonts w:hint="eastAsia" w:ascii="Times New Roman" w:hAnsi="Times New Roman" w:eastAsia="仿宋_GB2312"/>
          <w:sz w:val="32"/>
          <w:szCs w:val="32"/>
        </w:rPr>
        <w:t>，加强市级医院与名医、名院合作共建</w:t>
      </w:r>
      <w:r>
        <w:rPr>
          <w:rFonts w:ascii="Times New Roman" w:hAnsi="Times New Roman" w:eastAsia="仿宋_GB2312"/>
          <w:sz w:val="32"/>
          <w:szCs w:val="32"/>
        </w:rPr>
        <w:t>。</w:t>
      </w:r>
      <w:r>
        <w:rPr>
          <w:rFonts w:hint="eastAsia" w:ascii="Times New Roman" w:hAnsi="Times New Roman" w:eastAsia="仿宋_GB2312"/>
          <w:sz w:val="32"/>
          <w:szCs w:val="32"/>
        </w:rPr>
        <w:t>到2025年，我市居民健康和医疗卫生服务主要指标在全省各县（市）处于领先水平，市医院通过三级医院评审，县域内住院比例提升到90%以上，每千常住人口医疗卫生机构床位数达到6张，基层医疗卫生机构床位占当地总床位比例不低于20%，社会办医院床位不低于25%，每千常住人口中医类医院床位数达到0.55张，</w:t>
      </w:r>
      <w:r>
        <w:rPr>
          <w:rFonts w:ascii="Times New Roman" w:hAnsi="Times New Roman" w:eastAsia="仿宋_GB2312"/>
          <w:sz w:val="32"/>
          <w:szCs w:val="32"/>
        </w:rPr>
        <w:t>争创</w:t>
      </w:r>
      <w:r>
        <w:rPr>
          <w:rFonts w:hint="eastAsia" w:ascii="Times New Roman" w:hAnsi="Times New Roman" w:eastAsia="仿宋_GB2312"/>
          <w:sz w:val="32"/>
          <w:szCs w:val="32"/>
          <w:lang w:val="en-US" w:eastAsia="zh-CN"/>
        </w:rPr>
        <w:t>国家</w:t>
      </w:r>
      <w:r>
        <w:rPr>
          <w:rFonts w:hint="eastAsia" w:ascii="Times New Roman" w:hAnsi="Times New Roman" w:eastAsia="仿宋_GB2312"/>
          <w:sz w:val="32"/>
          <w:szCs w:val="32"/>
        </w:rPr>
        <w:t>卫生城市</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国家健康城市示范市、慢性非传染性疾病综合防控示范区。</w:t>
      </w:r>
    </w:p>
    <w:p w14:paraId="7DB07843">
      <w:pPr>
        <w:ind w:firstLine="643" w:firstLineChars="200"/>
        <w:rPr>
          <w:rFonts w:ascii="仿宋_GB2312" w:hAnsi="Times New Roman" w:eastAsia="仿宋_GB2312"/>
          <w:color w:val="000000" w:themeColor="text1"/>
          <w:sz w:val="32"/>
          <w:szCs w:val="40"/>
        </w:rPr>
      </w:pPr>
      <w:r>
        <w:rPr>
          <w:rFonts w:hint="eastAsia" w:ascii="Times New Roman" w:hAnsi="Times New Roman" w:eastAsia="仿宋_GB2312"/>
          <w:b/>
          <w:sz w:val="32"/>
          <w:szCs w:val="32"/>
        </w:rPr>
        <w:t>着力</w:t>
      </w:r>
      <w:r>
        <w:rPr>
          <w:rFonts w:ascii="Times New Roman" w:hAnsi="Times New Roman" w:eastAsia="仿宋_GB2312"/>
          <w:b/>
          <w:sz w:val="32"/>
          <w:szCs w:val="32"/>
        </w:rPr>
        <w:t>提升医疗服务水平。</w:t>
      </w:r>
      <w:r>
        <w:rPr>
          <w:rFonts w:hint="eastAsia" w:ascii="仿宋_GB2312" w:hAnsi="Times New Roman" w:eastAsia="仿宋_GB2312"/>
          <w:color w:val="000000" w:themeColor="text1"/>
          <w:sz w:val="32"/>
          <w:szCs w:val="40"/>
        </w:rPr>
        <w:t>把保障人民健康放在优先发展的战略位置，坚持预防为主，完善国民健康促进政策，为人民提供全方位全周期健康服务。</w:t>
      </w:r>
      <w:r>
        <w:rPr>
          <w:rFonts w:hint="eastAsia" w:ascii="仿宋_GB2312" w:hAnsi="Times New Roman" w:eastAsia="仿宋_GB2312"/>
          <w:color w:val="000000" w:themeColor="text1"/>
          <w:sz w:val="32"/>
          <w:szCs w:val="32"/>
        </w:rPr>
        <w:t>提高基层医疗卫生机构开展日常护理、慢性病管理、康复、健康教育和咨询等服务的能力，推动医疗卫生服务向社区、家庭延伸。支持社会资金兴办全科诊所、精神、儿童、中医（中西医结合）、康复医院、老年病医院、护理院、临终关怀医院、社区卫生服务、医学检验等健康服务机构，深度推进医养结合。大力推广中医药适宜技术，加强中医康复科室、老年病科建设，实现镇</w:t>
      </w:r>
      <w:r>
        <w:rPr>
          <w:rFonts w:hint="eastAsia" w:ascii="仿宋_GB2312" w:hAnsi="Times New Roman" w:eastAsia="仿宋_GB2312"/>
          <w:color w:val="000000" w:themeColor="text1"/>
          <w:sz w:val="32"/>
          <w:szCs w:val="32"/>
          <w:lang w:val="en-US" w:eastAsia="zh-CN"/>
        </w:rPr>
        <w:t>(中心）卫生院</w:t>
      </w:r>
      <w:r>
        <w:rPr>
          <w:rFonts w:hint="eastAsia" w:ascii="仿宋_GB2312" w:hAnsi="Times New Roman" w:eastAsia="仿宋_GB2312"/>
          <w:color w:val="000000" w:themeColor="text1"/>
          <w:sz w:val="32"/>
          <w:szCs w:val="32"/>
        </w:rPr>
        <w:t>、</w:t>
      </w:r>
      <w:r>
        <w:rPr>
          <w:rFonts w:hint="eastAsia" w:ascii="仿宋_GB2312" w:hAnsi="Times New Roman" w:eastAsia="仿宋_GB2312"/>
          <w:color w:val="000000" w:themeColor="text1"/>
          <w:sz w:val="32"/>
          <w:szCs w:val="32"/>
          <w:lang w:val="en-US" w:eastAsia="zh-CN"/>
        </w:rPr>
        <w:t>社区卫生服务中心</w:t>
      </w:r>
      <w:r>
        <w:rPr>
          <w:rFonts w:hint="eastAsia" w:ascii="仿宋_GB2312" w:hAnsi="Times New Roman" w:eastAsia="仿宋_GB2312"/>
          <w:color w:val="000000" w:themeColor="text1"/>
          <w:sz w:val="32"/>
          <w:szCs w:val="32"/>
        </w:rPr>
        <w:t>中医馆全</w:t>
      </w:r>
      <w:r>
        <w:rPr>
          <w:rFonts w:hint="eastAsia" w:ascii="仿宋_GB2312" w:hAnsi="仿宋" w:eastAsia="仿宋_GB2312" w:cs="仿宋"/>
          <w:color w:val="000000"/>
          <w:sz w:val="32"/>
          <w:szCs w:val="32"/>
        </w:rPr>
        <w:t>覆盖，加强中医药人才队伍建设和中医药资源保护。</w:t>
      </w:r>
      <w:r>
        <w:rPr>
          <w:rFonts w:hint="eastAsia" w:ascii="仿宋_GB2312" w:hAnsi="Times New Roman" w:eastAsia="仿宋_GB2312"/>
          <w:color w:val="000000" w:themeColor="text1"/>
          <w:sz w:val="32"/>
          <w:szCs w:val="32"/>
        </w:rPr>
        <w:t>发挥中医药在养生保健和疾病康复领域优势，</w:t>
      </w:r>
      <w:r>
        <w:rPr>
          <w:rFonts w:hint="eastAsia" w:ascii="仿宋_GB2312" w:hAnsi="仿宋" w:eastAsia="仿宋_GB2312" w:cs="仿宋"/>
          <w:color w:val="000000" w:themeColor="text1"/>
          <w:sz w:val="32"/>
          <w:szCs w:val="32"/>
        </w:rPr>
        <w:t>以康复护理、医养结合、健康产业化等延伸性医疗服务为特色，打造合肥都市圈医疗卫生服务重点城市。</w:t>
      </w:r>
      <w:r>
        <w:rPr>
          <w:rFonts w:hint="eastAsia" w:ascii="仿宋_GB2312" w:hAnsi="Times New Roman" w:eastAsia="仿宋_GB2312"/>
          <w:color w:val="000000" w:themeColor="text1"/>
          <w:sz w:val="32"/>
          <w:szCs w:val="32"/>
        </w:rPr>
        <w:t>加快重点临床专科、薄弱专科建设，加大高层次人才引进和全科医生培养力度。</w:t>
      </w:r>
      <w:r>
        <w:rPr>
          <w:rFonts w:hint="eastAsia" w:ascii="仿宋_GB2312" w:hAnsi="Times New Roman" w:eastAsia="仿宋_GB2312"/>
          <w:color w:val="000000" w:themeColor="text1"/>
          <w:sz w:val="32"/>
          <w:szCs w:val="40"/>
        </w:rPr>
        <w:t>提升健康教育、慢病管理和残疾康复服务质量，重视精神卫生和心理健康。</w:t>
      </w:r>
    </w:p>
    <w:p w14:paraId="0C618F63">
      <w:pPr>
        <w:ind w:firstLine="643" w:firstLineChars="200"/>
        <w:rPr>
          <w:rFonts w:hint="eastAsia" w:ascii="Times New Roman" w:hAnsi="Times New Roman" w:eastAsia="仿宋_GB2312"/>
          <w:sz w:val="32"/>
          <w:szCs w:val="32"/>
          <w:lang w:val="en-US" w:eastAsia="zh-CN"/>
        </w:rPr>
      </w:pPr>
      <w:r>
        <w:rPr>
          <w:rFonts w:hint="eastAsia" w:ascii="Times New Roman" w:hAnsi="Times New Roman" w:eastAsia="仿宋_GB2312"/>
          <w:b/>
          <w:sz w:val="32"/>
          <w:szCs w:val="32"/>
        </w:rPr>
        <w:t>加强</w:t>
      </w:r>
      <w:r>
        <w:rPr>
          <w:rFonts w:ascii="Times New Roman" w:hAnsi="Times New Roman" w:eastAsia="仿宋_GB2312"/>
          <w:b/>
          <w:sz w:val="32"/>
          <w:szCs w:val="32"/>
        </w:rPr>
        <w:t>公共卫生应急管理。</w:t>
      </w:r>
      <w:r>
        <w:rPr>
          <w:rFonts w:hint="eastAsia" w:ascii="Times New Roman" w:hAnsi="Times New Roman" w:eastAsia="仿宋_GB2312"/>
          <w:sz w:val="32"/>
          <w:szCs w:val="32"/>
          <w:lang w:val="en-US" w:eastAsia="zh-CN"/>
        </w:rPr>
        <w:t>健全疾病预防控制体系，加强传染病等疫情的监测预警，加强病原学检测，严格落实疫情直报制度。推进市疾控中心标准化建设，增加疾病预防控制能力。加强定点医院的发热门诊、感染病房、负压隔离病房、负压重症监护病房、负压急救车、应急物资储备中心、影像、实验室诊断等应急配套设施建设，提升突发公共卫生事件应急处置能力。针对性夯实完善各级医疗机构基础设施，加大医疗设备和防控设备配置，构建快速、高效、全覆盖的市域医疗救治体系和公共卫生事件应急监测体系。</w:t>
      </w:r>
    </w:p>
    <w:p w14:paraId="4B4AE29C">
      <w:pPr>
        <w:ind w:firstLine="643" w:firstLineChars="200"/>
        <w:rPr>
          <w:rFonts w:ascii="Times New Roman" w:hAnsi="Times New Roman" w:eastAsia="仿宋_GB2312"/>
          <w:b/>
          <w:sz w:val="32"/>
          <w:szCs w:val="32"/>
        </w:rPr>
      </w:pPr>
      <w:r>
        <w:rPr>
          <w:rFonts w:ascii="Times New Roman" w:hAnsi="Times New Roman" w:eastAsia="仿宋_GB2312"/>
          <w:b/>
          <w:sz w:val="32"/>
          <w:szCs w:val="32"/>
        </w:rPr>
        <w:t>大力推进“互联网+医疗健康”</w:t>
      </w:r>
      <w:r>
        <w:rPr>
          <w:rFonts w:hint="eastAsia" w:ascii="Times New Roman" w:hAnsi="Times New Roman" w:eastAsia="仿宋_GB2312"/>
          <w:b/>
          <w:sz w:val="32"/>
          <w:szCs w:val="32"/>
        </w:rPr>
        <w:t>。</w:t>
      </w:r>
      <w:r>
        <w:rPr>
          <w:rFonts w:hint="eastAsia" w:ascii="Times New Roman" w:hAnsi="Times New Roman" w:eastAsia="仿宋_GB2312"/>
          <w:sz w:val="32"/>
          <w:szCs w:val="32"/>
        </w:rPr>
        <w:t>加快推动公共卫生信息化建设，提升智慧医疗和“互联网+”医疗服务能力，促进资源整合、信息共享、流程优化和服务升级，</w:t>
      </w:r>
      <w:r>
        <w:rPr>
          <w:rFonts w:ascii="Times New Roman" w:hAnsi="Times New Roman" w:eastAsia="仿宋_GB2312"/>
          <w:sz w:val="32"/>
          <w:szCs w:val="32"/>
        </w:rPr>
        <w:t>完善“智医助理”项目，</w:t>
      </w:r>
      <w:r>
        <w:rPr>
          <w:rFonts w:hint="eastAsia" w:ascii="Times New Roman" w:hAnsi="Times New Roman" w:eastAsia="仿宋_GB2312"/>
          <w:sz w:val="32"/>
          <w:szCs w:val="32"/>
        </w:rPr>
        <w:t>推动县域医疗资源共享，检查检验结果同城互认，实现“一卡就医”。加快健康医疗大数据开发应用，实施健康云服务计划，探索建立远程服务中心、影像检验云中心、慢病管理云中心，增加</w:t>
      </w:r>
      <w:r>
        <w:rPr>
          <w:rFonts w:ascii="Times New Roman" w:hAnsi="Times New Roman" w:eastAsia="仿宋_GB2312"/>
          <w:sz w:val="32"/>
          <w:szCs w:val="32"/>
        </w:rPr>
        <w:t>远程医疗、健康咨询、健康管理</w:t>
      </w:r>
      <w:r>
        <w:rPr>
          <w:rFonts w:hint="eastAsia" w:ascii="Times New Roman" w:hAnsi="Times New Roman" w:eastAsia="仿宋_GB2312"/>
          <w:sz w:val="32"/>
          <w:szCs w:val="32"/>
        </w:rPr>
        <w:t>等</w:t>
      </w:r>
      <w:r>
        <w:rPr>
          <w:rFonts w:ascii="Times New Roman" w:hAnsi="Times New Roman" w:eastAsia="仿宋_GB2312"/>
          <w:sz w:val="32"/>
          <w:szCs w:val="32"/>
        </w:rPr>
        <w:t>健康服务</w:t>
      </w:r>
      <w:r>
        <w:rPr>
          <w:rFonts w:hint="eastAsia" w:ascii="Times New Roman" w:hAnsi="Times New Roman" w:eastAsia="仿宋_GB2312"/>
          <w:sz w:val="32"/>
          <w:szCs w:val="32"/>
        </w:rPr>
        <w:t>的有效供给。</w:t>
      </w:r>
    </w:p>
    <w:p w14:paraId="7FE3B09A">
      <w:pPr>
        <w:ind w:firstLine="643" w:firstLineChars="200"/>
        <w:rPr>
          <w:rFonts w:ascii="Times New Roman" w:hAnsi="Times New Roman" w:eastAsia="仿宋_GB2312"/>
          <w:sz w:val="32"/>
          <w:szCs w:val="32"/>
        </w:rPr>
      </w:pPr>
      <w:r>
        <w:rPr>
          <w:rFonts w:ascii="Times New Roman" w:hAnsi="Times New Roman" w:eastAsia="仿宋_GB2312"/>
          <w:b/>
          <w:sz w:val="32"/>
          <w:szCs w:val="32"/>
        </w:rPr>
        <w:t>广泛开展全民健身运动</w:t>
      </w:r>
      <w:r>
        <w:rPr>
          <w:rFonts w:ascii="Times New Roman" w:hAnsi="Times New Roman" w:eastAsia="仿宋_GB2312"/>
          <w:sz w:val="32"/>
          <w:szCs w:val="32"/>
        </w:rPr>
        <w:t>。</w:t>
      </w:r>
      <w:r>
        <w:rPr>
          <w:rFonts w:hint="eastAsia" w:ascii="Times New Roman" w:hAnsi="Times New Roman" w:eastAsia="仿宋_GB2312"/>
          <w:sz w:val="32"/>
          <w:szCs w:val="32"/>
        </w:rPr>
        <w:t>实施全民健身计划，提高城乡居民身体素质和健康水平。深入开展体育惠民活动，加强公共体育场、全民健身活动中心、游泳场馆、足球场地</w:t>
      </w:r>
      <w:r>
        <w:rPr>
          <w:rFonts w:ascii="Times New Roman" w:hAnsi="Times New Roman" w:eastAsia="仿宋_GB2312"/>
          <w:sz w:val="32"/>
          <w:szCs w:val="32"/>
        </w:rPr>
        <w:t>、健身步道、体育生态公园</w:t>
      </w:r>
      <w:r>
        <w:rPr>
          <w:rFonts w:hint="eastAsia" w:ascii="Times New Roman" w:hAnsi="Times New Roman" w:eastAsia="仿宋_GB2312"/>
          <w:sz w:val="32"/>
          <w:szCs w:val="32"/>
        </w:rPr>
        <w:t>等建设，</w:t>
      </w:r>
      <w:r>
        <w:rPr>
          <w:rFonts w:ascii="Times New Roman" w:hAnsi="Times New Roman" w:eastAsia="仿宋_GB2312"/>
          <w:sz w:val="32"/>
          <w:szCs w:val="32"/>
        </w:rPr>
        <w:t>优先在住宅区附近配置公益性体育设施设备，</w:t>
      </w:r>
      <w:r>
        <w:rPr>
          <w:rFonts w:hint="eastAsia" w:ascii="Times New Roman" w:hAnsi="Times New Roman" w:eastAsia="仿宋_GB2312"/>
          <w:sz w:val="32"/>
          <w:szCs w:val="32"/>
        </w:rPr>
        <w:t>推动公共体育设施免费或低收费开放。</w:t>
      </w:r>
      <w:r>
        <w:rPr>
          <w:rFonts w:ascii="Times New Roman" w:hAnsi="Times New Roman" w:eastAsia="仿宋_GB2312"/>
          <w:sz w:val="32"/>
          <w:szCs w:val="32"/>
        </w:rPr>
        <w:t>支持和引导社会资本参与体育场馆的建设和运营管理，鼓励发展多种形式的体育健身俱乐部和体育健身组织，</w:t>
      </w:r>
      <w:r>
        <w:rPr>
          <w:rFonts w:hint="eastAsia" w:ascii="Times New Roman" w:hAnsi="Times New Roman" w:eastAsia="仿宋_GB2312"/>
          <w:sz w:val="32"/>
          <w:szCs w:val="32"/>
        </w:rPr>
        <w:t>开展</w:t>
      </w:r>
      <w:r>
        <w:rPr>
          <w:rFonts w:ascii="Times New Roman" w:hAnsi="Times New Roman" w:eastAsia="仿宋_GB2312"/>
          <w:sz w:val="32"/>
          <w:szCs w:val="32"/>
        </w:rPr>
        <w:t>运动健身培训、健身指导咨询、体质测定等服务。</w:t>
      </w:r>
      <w:r>
        <w:rPr>
          <w:rFonts w:hint="eastAsia" w:ascii="Times New Roman" w:hAnsi="Times New Roman" w:eastAsia="仿宋_GB2312"/>
          <w:sz w:val="32"/>
          <w:szCs w:val="32"/>
        </w:rPr>
        <w:t>深化体教融合，全面普及青少年体育运动，促进养成终身锻炼习惯。</w:t>
      </w:r>
      <w:r>
        <w:rPr>
          <w:rFonts w:ascii="Times New Roman" w:hAnsi="Times New Roman" w:eastAsia="仿宋_GB2312"/>
          <w:sz w:val="32"/>
          <w:szCs w:val="32"/>
        </w:rPr>
        <w:t>宣传普及科学健身知识，提高人民群众体育健身意识，引导体育健身消费。</w:t>
      </w:r>
    </w:p>
    <w:p w14:paraId="5A207931">
      <w:pPr>
        <w:tabs>
          <w:tab w:val="left" w:pos="1140"/>
          <w:tab w:val="center" w:pos="4153"/>
        </w:tabs>
        <w:spacing w:before="100" w:beforeAutospacing="1" w:after="100" w:afterAutospacing="1"/>
        <w:jc w:val="center"/>
        <w:outlineLvl w:val="1"/>
        <w:rPr>
          <w:rFonts w:ascii="Times New Roman" w:hAnsi="Times New Roman" w:eastAsia="黑体"/>
          <w:sz w:val="32"/>
          <w:szCs w:val="32"/>
        </w:rPr>
      </w:pPr>
      <w:bookmarkStart w:id="100" w:name="_Toc53003474"/>
      <w:bookmarkStart w:id="101" w:name="_Toc26200"/>
      <w:r>
        <w:rPr>
          <w:rFonts w:ascii="Times New Roman" w:hAnsi="Times New Roman" w:eastAsia="黑体"/>
          <w:sz w:val="32"/>
          <w:szCs w:val="32"/>
        </w:rPr>
        <w:t>第</w:t>
      </w:r>
      <w:r>
        <w:rPr>
          <w:rFonts w:hint="eastAsia" w:ascii="Times New Roman" w:hAnsi="Times New Roman" w:eastAsia="黑体"/>
          <w:sz w:val="32"/>
          <w:szCs w:val="32"/>
          <w:lang w:val="en-US" w:eastAsia="zh-CN"/>
        </w:rPr>
        <w:t>六</w:t>
      </w:r>
      <w:r>
        <w:rPr>
          <w:rFonts w:ascii="Times New Roman" w:hAnsi="Times New Roman" w:eastAsia="黑体"/>
          <w:sz w:val="32"/>
          <w:szCs w:val="32"/>
        </w:rPr>
        <w:t>节</w:t>
      </w:r>
      <w:r>
        <w:rPr>
          <w:rFonts w:hint="eastAsia" w:ascii="Times New Roman" w:hAnsi="Times New Roman" w:eastAsia="黑体"/>
          <w:sz w:val="32"/>
          <w:szCs w:val="32"/>
          <w:lang w:val="en-US" w:eastAsia="zh-CN"/>
        </w:rPr>
        <w:t xml:space="preserve"> </w:t>
      </w:r>
      <w:r>
        <w:rPr>
          <w:rFonts w:ascii="Times New Roman" w:hAnsi="Times New Roman" w:eastAsia="黑体"/>
          <w:sz w:val="32"/>
          <w:szCs w:val="32"/>
        </w:rPr>
        <w:t>健全完善社会保障</w:t>
      </w:r>
      <w:bookmarkEnd w:id="100"/>
      <w:bookmarkEnd w:id="101"/>
    </w:p>
    <w:p w14:paraId="477D333B">
      <w:pPr>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健全多层次社会保障体系</w:t>
      </w:r>
      <w:r>
        <w:rPr>
          <w:rFonts w:ascii="Times New Roman" w:hAnsi="Times New Roman" w:eastAsia="仿宋_GB2312"/>
          <w:b/>
          <w:sz w:val="32"/>
          <w:szCs w:val="32"/>
        </w:rPr>
        <w:t>。</w:t>
      </w:r>
      <w:r>
        <w:rPr>
          <w:rFonts w:ascii="Times New Roman" w:hAnsi="Times New Roman" w:eastAsia="仿宋_GB2312"/>
          <w:sz w:val="32"/>
          <w:szCs w:val="32"/>
        </w:rPr>
        <w:t>健全统筹城乡、可持续的基本养老保险制度</w:t>
      </w:r>
      <w:r>
        <w:rPr>
          <w:rFonts w:hint="eastAsia" w:ascii="Times New Roman" w:hAnsi="Times New Roman" w:eastAsia="仿宋_GB2312"/>
          <w:sz w:val="32"/>
          <w:szCs w:val="32"/>
        </w:rPr>
        <w:t>和</w:t>
      </w:r>
      <w:r>
        <w:rPr>
          <w:rFonts w:ascii="Times New Roman" w:hAnsi="Times New Roman" w:eastAsia="仿宋_GB2312"/>
          <w:sz w:val="32"/>
          <w:szCs w:val="32"/>
        </w:rPr>
        <w:t>基本医疗保险制度，</w:t>
      </w:r>
      <w:r>
        <w:rPr>
          <w:rFonts w:hint="eastAsia" w:ascii="Times New Roman" w:hAnsi="Times New Roman" w:eastAsia="仿宋_GB2312"/>
          <w:sz w:val="32"/>
          <w:szCs w:val="32"/>
        </w:rPr>
        <w:t>出台社会保障相关配套政策，提升社会保障水平。</w:t>
      </w:r>
      <w:r>
        <w:rPr>
          <w:rFonts w:ascii="Times New Roman" w:hAnsi="Times New Roman" w:eastAsia="仿宋_GB2312"/>
          <w:sz w:val="32"/>
          <w:szCs w:val="32"/>
        </w:rPr>
        <w:t>持续实施全民参保计划，促进和引导各类单位和符合条件的人员长期持续参保，实现法定人员全覆盖。</w:t>
      </w:r>
      <w:r>
        <w:rPr>
          <w:rFonts w:hint="eastAsia" w:ascii="Times New Roman" w:hAnsi="Times New Roman" w:eastAsia="仿宋_GB2312"/>
          <w:sz w:val="32"/>
          <w:szCs w:val="32"/>
        </w:rPr>
        <w:t>完善社会统筹与个人账户相结合的职工基本养老保险制度和个人账户制度，积极做好基础养老金统筹工作，鼓励有条件的居民参加企业职工养老保险。</w:t>
      </w:r>
      <w:r>
        <w:rPr>
          <w:rFonts w:hint="eastAsia" w:ascii="Times New Roman" w:hAnsi="Times New Roman" w:eastAsia="仿宋_GB2312"/>
          <w:sz w:val="32"/>
          <w:szCs w:val="32"/>
          <w:lang w:eastAsia="zh-CN"/>
        </w:rPr>
        <w:t>积极推进城乡居民基本养老保险高质量发展，落实城乡居民基本养老保险待遇确定和基础养老金正常调整机制。</w:t>
      </w:r>
      <w:r>
        <w:rPr>
          <w:rFonts w:hint="eastAsia" w:ascii="Times New Roman" w:hAnsi="Times New Roman" w:eastAsia="仿宋_GB2312"/>
          <w:sz w:val="32"/>
          <w:szCs w:val="32"/>
        </w:rPr>
        <w:t>健全重大疾病医疗保险和救助制度，落实异地就医结算，稳步建立长期护理保险制度，积极发展商业医疗保险。完善失业保险制度，建立失业保险金标准与最低工资标准挂钩联动制度。完善工伤人员工伤保险政策，探索适应灵活就业人员的工伤保险保障方式。落实被征地农民保险政策。构建多样化保障体系，促进社会保险与补充保险、商业保险相衔接。完善社会保险转移接续政策，推动与长三角地区的社保互联互通。</w:t>
      </w:r>
    </w:p>
    <w:p w14:paraId="0E9F2D63">
      <w:pPr>
        <w:ind w:firstLine="643" w:firstLineChars="200"/>
        <w:rPr>
          <w:rFonts w:ascii="Times New Roman" w:hAnsi="Times New Roman" w:eastAsia="仿宋_GB2312"/>
          <w:sz w:val="32"/>
          <w:szCs w:val="32"/>
        </w:rPr>
      </w:pPr>
      <w:r>
        <w:rPr>
          <w:rFonts w:ascii="Times New Roman" w:hAnsi="Times New Roman" w:eastAsia="仿宋_GB2312"/>
          <w:b/>
          <w:bCs/>
          <w:sz w:val="32"/>
          <w:szCs w:val="32"/>
        </w:rPr>
        <w:t>健全社会救助体系。</w:t>
      </w:r>
      <w:r>
        <w:rPr>
          <w:rFonts w:hint="eastAsia" w:ascii="Times New Roman" w:hAnsi="Times New Roman" w:eastAsia="仿宋_GB2312"/>
          <w:bCs/>
          <w:sz w:val="32"/>
          <w:szCs w:val="32"/>
        </w:rPr>
        <w:t>统筹城乡社会救助体系，逐步提高最低生活保障和城乡特困供养标准，建立完善城乡特困群众大病医疗救助制度。加强对流浪乞讨人员、孤儿弃婴、生活困难的残疾人和重度残疾人、留守和困境儿童、留守老人、家庭暴力受害者等特殊困难群体救助保障，</w:t>
      </w:r>
      <w:r>
        <w:rPr>
          <w:rFonts w:hint="eastAsia" w:ascii="Times New Roman" w:hAnsi="Times New Roman" w:eastAsia="仿宋_GB2312"/>
          <w:bCs/>
          <w:sz w:val="32"/>
          <w:szCs w:val="32"/>
          <w:lang w:val="en-US" w:eastAsia="zh-CN"/>
        </w:rPr>
        <w:t>加强未成年人保护工作，</w:t>
      </w:r>
      <w:r>
        <w:rPr>
          <w:rFonts w:hint="eastAsia" w:ascii="Times New Roman" w:hAnsi="Times New Roman" w:eastAsia="仿宋_GB2312"/>
          <w:bCs/>
          <w:sz w:val="32"/>
          <w:szCs w:val="32"/>
        </w:rPr>
        <w:t>健全关爱服务体系。发展残疾人事业，推进贫困残疾人康复民生工程。构建桐城市社会救助大数据平台，实现对救助对象实施精准识别、精准帮扶和精准管理。</w:t>
      </w:r>
    </w:p>
    <w:p w14:paraId="2C723555">
      <w:pPr>
        <w:ind w:firstLine="643" w:firstLineChars="200"/>
        <w:rPr>
          <w:rFonts w:ascii="Times New Roman" w:hAnsi="Times New Roman" w:eastAsia="仿宋_GB2312"/>
          <w:bCs/>
          <w:sz w:val="32"/>
          <w:szCs w:val="32"/>
        </w:rPr>
      </w:pPr>
      <w:r>
        <w:rPr>
          <w:rFonts w:ascii="Times New Roman" w:hAnsi="Times New Roman" w:eastAsia="仿宋_GB2312"/>
          <w:b/>
          <w:bCs/>
          <w:sz w:val="32"/>
          <w:szCs w:val="32"/>
        </w:rPr>
        <w:t>支持社会福利和慈善事业发展。</w:t>
      </w:r>
      <w:r>
        <w:rPr>
          <w:rFonts w:ascii="Times New Roman" w:hAnsi="Times New Roman" w:eastAsia="仿宋_GB2312"/>
          <w:bCs/>
          <w:sz w:val="32"/>
          <w:szCs w:val="32"/>
        </w:rPr>
        <w:t>健全以扶老、助残、爱幼、济困为重点的社会福利制度。做好困境儿童福利保障工作。完善儿童收养制度。发展公益性基本殡葬服务，支持公共殡仪馆、公益性骨灰安放(葬)设施和墓地建设。加快公办福利机构改革，加强福利设施建设，优化布局和资源共享。</w:t>
      </w:r>
      <w:r>
        <w:rPr>
          <w:rFonts w:hint="eastAsia" w:ascii="Times New Roman" w:hAnsi="Times New Roman" w:eastAsia="仿宋_GB2312"/>
          <w:bCs/>
          <w:sz w:val="32"/>
          <w:szCs w:val="32"/>
        </w:rPr>
        <w:t>大力支持专业社会工作和慈善事业发展，加强红十字会基层组织建设，健全经常性社会捐助机制。</w:t>
      </w:r>
    </w:p>
    <w:p w14:paraId="723D2709">
      <w:pPr>
        <w:ind w:firstLine="643" w:firstLineChars="200"/>
        <w:rPr>
          <w:rFonts w:hint="eastAsia" w:ascii="Times New Roman" w:hAnsi="Times New Roman" w:eastAsia="仿宋_GB2312"/>
          <w:bCs/>
          <w:sz w:val="32"/>
          <w:szCs w:val="32"/>
        </w:rPr>
      </w:pPr>
      <w:r>
        <w:rPr>
          <w:rFonts w:hint="eastAsia" w:ascii="Times New Roman" w:hAnsi="Times New Roman" w:eastAsia="仿宋_GB2312"/>
          <w:b/>
          <w:bCs/>
          <w:sz w:val="32"/>
          <w:szCs w:val="32"/>
        </w:rPr>
        <w:t>构建多层次养老服务体系</w:t>
      </w:r>
      <w:r>
        <w:rPr>
          <w:rFonts w:ascii="Times New Roman" w:hAnsi="Times New Roman" w:eastAsia="仿宋_GB2312"/>
          <w:b/>
          <w:bCs/>
          <w:sz w:val="32"/>
          <w:szCs w:val="32"/>
        </w:rPr>
        <w:t>。</w:t>
      </w:r>
      <w:r>
        <w:rPr>
          <w:rFonts w:hint="eastAsia" w:ascii="Times New Roman" w:hAnsi="Times New Roman" w:eastAsia="仿宋_GB2312"/>
          <w:bCs/>
          <w:sz w:val="32"/>
          <w:szCs w:val="32"/>
        </w:rPr>
        <w:t>积极应对人口老龄化，加快建设居家社区机构相协调、医养康养</w:t>
      </w:r>
      <w:r>
        <w:rPr>
          <w:rFonts w:hint="eastAsia" w:ascii="Times New Roman" w:hAnsi="Times New Roman" w:eastAsia="仿宋_GB2312"/>
          <w:bCs/>
          <w:sz w:val="32"/>
          <w:szCs w:val="32"/>
          <w:lang w:val="en-US" w:eastAsia="zh-CN"/>
        </w:rPr>
        <w:t>相</w:t>
      </w:r>
      <w:r>
        <w:rPr>
          <w:rFonts w:hint="eastAsia" w:ascii="Times New Roman" w:hAnsi="Times New Roman" w:eastAsia="仿宋_GB2312"/>
          <w:bCs/>
          <w:sz w:val="32"/>
          <w:szCs w:val="32"/>
        </w:rPr>
        <w:t>结合的养老服务体系。发展家庭养老床位、推进居家适老化改造、提供“喘息服务”。大力发展社区养老，重点推进老旧小区养老服务用房限期配置，发展社区嵌入式小微养老机构。切实关注农村养老服务，重点推动农村敬老院提质增效，因地制宜发展村级养老服务中心（站），推进运营机制和区域布局改革，打破乡镇行政区域限制，发展市级集中照护服务设施。大力推动医养康养结合发展，打造创新融合、包容开放的发展环境，促进医养康养融合发展。加快建设纵向贯通的养老服务监管平台，全面实现“互联网+监管”，在饮食、消防、服务质量、安全等方面加强监管</w:t>
      </w:r>
      <w:r>
        <w:rPr>
          <w:rFonts w:hint="eastAsia" w:ascii="Times New Roman" w:hAnsi="Times New Roman" w:eastAsia="仿宋_GB2312"/>
          <w:bCs/>
          <w:sz w:val="32"/>
          <w:szCs w:val="32"/>
          <w:lang w:eastAsia="zh-CN"/>
        </w:rPr>
        <w:t>，</w:t>
      </w:r>
      <w:r>
        <w:rPr>
          <w:rFonts w:hint="eastAsia" w:ascii="Times New Roman" w:hAnsi="Times New Roman" w:eastAsia="仿宋_GB2312"/>
          <w:bCs/>
          <w:sz w:val="32"/>
          <w:szCs w:val="32"/>
        </w:rPr>
        <w:t>守牢养老服务机构安全运行底线。</w:t>
      </w:r>
    </w:p>
    <w:p w14:paraId="5099E28C">
      <w:pPr>
        <w:ind w:firstLine="643" w:firstLineChars="200"/>
        <w:rPr>
          <w:rFonts w:ascii="Times New Roman" w:hAnsi="Times New Roman" w:eastAsia="仿宋_GB2312"/>
          <w:bCs/>
          <w:sz w:val="32"/>
          <w:szCs w:val="32"/>
        </w:rPr>
      </w:pPr>
      <w:r>
        <w:rPr>
          <w:rFonts w:ascii="Times New Roman" w:hAnsi="Times New Roman" w:eastAsia="仿宋_GB2312"/>
          <w:b/>
          <w:bCs/>
          <w:sz w:val="32"/>
          <w:szCs w:val="32"/>
        </w:rPr>
        <w:t>健全婴幼儿照护服务体系。</w:t>
      </w:r>
      <w:r>
        <w:rPr>
          <w:rFonts w:ascii="Times New Roman" w:hAnsi="Times New Roman" w:eastAsia="仿宋_GB2312"/>
          <w:bCs/>
          <w:sz w:val="32"/>
          <w:szCs w:val="32"/>
        </w:rPr>
        <w:t>充分调动社会力量积极性，鼓励和支持多种形式开展3岁以下婴幼儿照护服务，注重规划建设与常住人口规模相适应的婴幼儿照护服务设施及配套安全设施。发挥城乡社区公共服务设施的婴幼儿照护服务功能，加强社区婴幼儿照护服务设施与社区服务中心（站）及社区卫生、文化、体育等设施的功能衔接。</w:t>
      </w:r>
    </w:p>
    <w:p w14:paraId="22D5C89B">
      <w:pPr>
        <w:pStyle w:val="2"/>
      </w:pPr>
    </w:p>
    <w:p w14:paraId="3DA7E79F">
      <w:pPr>
        <w:tabs>
          <w:tab w:val="left" w:pos="1140"/>
          <w:tab w:val="center" w:pos="4153"/>
        </w:tabs>
        <w:spacing w:before="100" w:beforeAutospacing="1" w:after="100" w:afterAutospacing="1"/>
        <w:jc w:val="center"/>
        <w:outlineLvl w:val="1"/>
        <w:rPr>
          <w:rFonts w:ascii="Times New Roman" w:hAnsi="Times New Roman" w:eastAsia="黑体"/>
          <w:sz w:val="32"/>
          <w:szCs w:val="32"/>
        </w:rPr>
      </w:pPr>
      <w:bookmarkStart w:id="102" w:name="_Toc765"/>
      <w:bookmarkStart w:id="103" w:name="_Toc53003476"/>
      <w:bookmarkStart w:id="104" w:name="_Toc51626184"/>
      <w:r>
        <w:rPr>
          <w:rFonts w:hint="eastAsia" w:ascii="Times New Roman" w:hAnsi="Times New Roman" w:eastAsia="黑体"/>
          <w:sz w:val="32"/>
          <w:szCs w:val="32"/>
        </w:rPr>
        <w:t>第</w:t>
      </w:r>
      <w:r>
        <w:rPr>
          <w:rFonts w:hint="eastAsia" w:ascii="Times New Roman" w:hAnsi="Times New Roman" w:eastAsia="黑体"/>
          <w:sz w:val="32"/>
          <w:szCs w:val="32"/>
          <w:lang w:val="en-US" w:eastAsia="zh-CN"/>
        </w:rPr>
        <w:t>七</w:t>
      </w:r>
      <w:r>
        <w:rPr>
          <w:rFonts w:hint="eastAsia" w:ascii="Times New Roman" w:hAnsi="Times New Roman" w:eastAsia="黑体"/>
          <w:sz w:val="32"/>
          <w:szCs w:val="32"/>
        </w:rPr>
        <w:t>节</w:t>
      </w:r>
      <w:r>
        <w:rPr>
          <w:rFonts w:hint="eastAsia" w:ascii="Times New Roman" w:hAnsi="Times New Roman" w:eastAsia="黑体"/>
          <w:sz w:val="32"/>
          <w:szCs w:val="32"/>
          <w:lang w:val="en-US" w:eastAsia="zh-CN"/>
        </w:rPr>
        <w:t xml:space="preserve"> </w:t>
      </w:r>
      <w:r>
        <w:rPr>
          <w:rFonts w:hint="eastAsia" w:ascii="Times New Roman" w:hAnsi="Times New Roman" w:eastAsia="黑体"/>
          <w:sz w:val="32"/>
          <w:szCs w:val="32"/>
        </w:rPr>
        <w:t>巩固全国文明城市创建成果</w:t>
      </w:r>
      <w:bookmarkEnd w:id="102"/>
    </w:p>
    <w:p w14:paraId="09763A9F">
      <w:pPr>
        <w:ind w:firstLine="640" w:firstLineChars="200"/>
        <w:rPr>
          <w:rFonts w:ascii="Times New Roman" w:hAnsi="Times New Roman" w:eastAsia="仿宋_GB2312"/>
          <w:bCs/>
          <w:color w:val="000000" w:themeColor="text1"/>
          <w:sz w:val="32"/>
          <w:szCs w:val="32"/>
        </w:rPr>
      </w:pPr>
      <w:r>
        <w:rPr>
          <w:rFonts w:hint="eastAsia" w:ascii="Times New Roman" w:hAnsi="Times New Roman" w:eastAsia="仿宋_GB2312"/>
          <w:bCs/>
          <w:color w:val="000000" w:themeColor="text1"/>
          <w:sz w:val="32"/>
          <w:szCs w:val="32"/>
        </w:rPr>
        <w:t>坚持创建为民、创建靠民、注重人的文明素质提升。</w:t>
      </w:r>
      <w:r>
        <w:rPr>
          <w:rFonts w:ascii="Times New Roman" w:hAnsi="Times New Roman" w:eastAsia="仿宋_GB2312"/>
          <w:bCs/>
          <w:color w:val="000000" w:themeColor="text1"/>
          <w:sz w:val="32"/>
          <w:szCs w:val="32"/>
        </w:rPr>
        <w:t>加强思想道德建设，广泛开展爱国主义、集体主义、社会主义教育和传统文化教育，引导广大公民树立正确的世界观、人生观、价值观，推动理想信念教育常态化、制度化，凝聚人民精神力量。推深做实文明实践中心，健全完善志愿服务体系。</w:t>
      </w:r>
      <w:r>
        <w:rPr>
          <w:rFonts w:hint="eastAsia" w:ascii="Times New Roman" w:hAnsi="Times New Roman" w:eastAsia="仿宋_GB2312"/>
          <w:bCs/>
          <w:color w:val="000000" w:themeColor="text1"/>
          <w:sz w:val="32"/>
          <w:szCs w:val="32"/>
        </w:rPr>
        <w:t>用好新时代文明实践中心（所、站），推动移风易俗制度化、规范化。完善城市服务功能，健全文明创建常态化工作机制，落实各单位共建文明城市社会责任,</w:t>
      </w:r>
      <w:r>
        <w:rPr>
          <w:rFonts w:ascii="Times New Roman" w:hAnsi="Times New Roman" w:eastAsia="仿宋_GB2312"/>
          <w:color w:val="000000" w:themeColor="text1"/>
          <w:sz w:val="32"/>
          <w:szCs w:val="32"/>
        </w:rPr>
        <w:t>深化群众性精神文明创建活动，</w:t>
      </w:r>
      <w:r>
        <w:rPr>
          <w:rFonts w:hint="eastAsia" w:ascii="Times New Roman" w:hAnsi="Times New Roman" w:eastAsia="仿宋_GB2312"/>
          <w:bCs/>
          <w:color w:val="000000" w:themeColor="text1"/>
          <w:sz w:val="32"/>
          <w:szCs w:val="32"/>
        </w:rPr>
        <w:t>营造浓厚的城市文明氛围。提升物业公司整体管理服务水平，推进“执法进小区”。坚持以城带乡，深化集镇环境秩序整治。</w:t>
      </w:r>
      <w:r>
        <w:rPr>
          <w:rFonts w:ascii="Times New Roman" w:hAnsi="Times New Roman" w:eastAsia="仿宋_GB2312"/>
          <w:bCs/>
          <w:color w:val="000000" w:themeColor="text1"/>
          <w:sz w:val="32"/>
          <w:szCs w:val="32"/>
        </w:rPr>
        <w:t>加大</w:t>
      </w:r>
      <w:r>
        <w:rPr>
          <w:rFonts w:ascii="Times New Roman" w:hAnsi="Times New Roman" w:eastAsia="仿宋_GB2312"/>
          <w:color w:val="000000" w:themeColor="text1"/>
          <w:sz w:val="32"/>
          <w:szCs w:val="32"/>
        </w:rPr>
        <w:t>“桐城好人”</w:t>
      </w:r>
      <w:r>
        <w:rPr>
          <w:rFonts w:ascii="Times New Roman" w:hAnsi="Times New Roman" w:eastAsia="仿宋_GB2312"/>
          <w:bCs/>
          <w:color w:val="000000" w:themeColor="text1"/>
          <w:sz w:val="32"/>
          <w:szCs w:val="32"/>
        </w:rPr>
        <w:t>等先进典型的宣传和推广力度，树立一批典型模范</w:t>
      </w:r>
      <w:r>
        <w:rPr>
          <w:rFonts w:hint="eastAsia" w:ascii="Times New Roman" w:hAnsi="Times New Roman" w:eastAsia="仿宋_GB2312"/>
          <w:bCs/>
          <w:color w:val="000000" w:themeColor="text1"/>
          <w:sz w:val="32"/>
          <w:szCs w:val="32"/>
        </w:rPr>
        <w:t>，完善诚信体系，不断净化社会环境</w:t>
      </w:r>
      <w:r>
        <w:rPr>
          <w:rFonts w:ascii="Times New Roman" w:hAnsi="Times New Roman" w:eastAsia="仿宋_GB2312"/>
          <w:bCs/>
          <w:color w:val="000000" w:themeColor="text1"/>
          <w:sz w:val="32"/>
          <w:szCs w:val="32"/>
        </w:rPr>
        <w:t>。</w:t>
      </w:r>
      <w:r>
        <w:rPr>
          <w:rFonts w:hint="eastAsia" w:ascii="Times New Roman" w:hAnsi="Times New Roman" w:eastAsia="仿宋_GB2312"/>
          <w:bCs/>
          <w:color w:val="000000" w:themeColor="text1"/>
          <w:sz w:val="32"/>
          <w:szCs w:val="32"/>
        </w:rPr>
        <w:t>加强网络文明建设，发展积极健康的网络文化。</w:t>
      </w:r>
    </w:p>
    <w:p w14:paraId="1C4ABBAC">
      <w:pPr>
        <w:tabs>
          <w:tab w:val="left" w:pos="1140"/>
          <w:tab w:val="center" w:pos="4153"/>
        </w:tabs>
        <w:spacing w:before="100" w:beforeAutospacing="1" w:after="100" w:afterAutospacing="1"/>
        <w:jc w:val="center"/>
        <w:outlineLvl w:val="1"/>
        <w:rPr>
          <w:rFonts w:ascii="Times New Roman" w:hAnsi="Times New Roman" w:eastAsia="黑体"/>
          <w:sz w:val="32"/>
          <w:szCs w:val="32"/>
        </w:rPr>
      </w:pPr>
      <w:bookmarkStart w:id="105" w:name="_Toc22354"/>
      <w:r>
        <w:rPr>
          <w:rFonts w:ascii="Times New Roman" w:hAnsi="Times New Roman" w:eastAsia="黑体"/>
          <w:sz w:val="32"/>
          <w:szCs w:val="32"/>
        </w:rPr>
        <w:t>第</w:t>
      </w:r>
      <w:r>
        <w:rPr>
          <w:rFonts w:hint="eastAsia" w:ascii="Times New Roman" w:hAnsi="Times New Roman" w:eastAsia="黑体"/>
          <w:sz w:val="32"/>
          <w:szCs w:val="32"/>
          <w:lang w:val="en-US" w:eastAsia="zh-CN"/>
        </w:rPr>
        <w:t>八</w:t>
      </w:r>
      <w:r>
        <w:rPr>
          <w:rFonts w:ascii="Times New Roman" w:hAnsi="Times New Roman" w:eastAsia="黑体"/>
          <w:sz w:val="32"/>
          <w:szCs w:val="32"/>
        </w:rPr>
        <w:t>节</w:t>
      </w:r>
      <w:r>
        <w:rPr>
          <w:rFonts w:hint="eastAsia" w:ascii="Times New Roman" w:hAnsi="Times New Roman" w:eastAsia="黑体"/>
          <w:sz w:val="32"/>
          <w:szCs w:val="32"/>
          <w:lang w:val="en-US" w:eastAsia="zh-CN"/>
        </w:rPr>
        <w:t xml:space="preserve"> </w:t>
      </w:r>
      <w:r>
        <w:rPr>
          <w:rFonts w:hint="eastAsia" w:ascii="Times New Roman" w:hAnsi="Times New Roman" w:eastAsia="黑体"/>
          <w:sz w:val="32"/>
          <w:szCs w:val="32"/>
        </w:rPr>
        <w:t>加强和创新社会治理</w:t>
      </w:r>
      <w:bookmarkEnd w:id="105"/>
    </w:p>
    <w:bookmarkEnd w:id="103"/>
    <w:bookmarkEnd w:id="104"/>
    <w:p w14:paraId="6A787155">
      <w:pPr>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深化</w:t>
      </w:r>
      <w:r>
        <w:rPr>
          <w:rFonts w:ascii="Times New Roman" w:hAnsi="Times New Roman" w:eastAsia="仿宋_GB2312"/>
          <w:b/>
          <w:sz w:val="32"/>
          <w:szCs w:val="32"/>
        </w:rPr>
        <w:t>法治</w:t>
      </w:r>
      <w:r>
        <w:rPr>
          <w:rFonts w:hint="eastAsia" w:ascii="Times New Roman" w:hAnsi="Times New Roman" w:eastAsia="仿宋_GB2312"/>
          <w:b/>
          <w:sz w:val="32"/>
          <w:szCs w:val="32"/>
        </w:rPr>
        <w:t>桐城</w:t>
      </w:r>
      <w:r>
        <w:rPr>
          <w:rFonts w:ascii="Times New Roman" w:hAnsi="Times New Roman" w:eastAsia="仿宋_GB2312"/>
          <w:b/>
          <w:sz w:val="32"/>
          <w:szCs w:val="32"/>
        </w:rPr>
        <w:t>建设。</w:t>
      </w:r>
      <w:r>
        <w:rPr>
          <w:rFonts w:ascii="Times New Roman" w:hAnsi="Times New Roman" w:eastAsia="仿宋_GB2312"/>
          <w:sz w:val="32"/>
          <w:szCs w:val="32"/>
        </w:rPr>
        <w:t>加强党对全面依法治市的领导，加快推进法治城市、法治政府、法治社会建设，不断提升依法治市水平和治理效能。注重通过法治实践提高政府工作人员法治思维和依法行政水平。完善政府法律顾问制度，提高法律顾问工作水平，充分发挥法律顾问在制定重大行政决策、推进依法行政中的积极作用。</w:t>
      </w:r>
      <w:r>
        <w:rPr>
          <w:rFonts w:hint="eastAsia" w:ascii="Times New Roman" w:hAnsi="Times New Roman" w:eastAsia="仿宋_GB2312"/>
          <w:sz w:val="32"/>
          <w:szCs w:val="32"/>
        </w:rPr>
        <w:t>加强基层公共法律服务体系建设，</w:t>
      </w:r>
      <w:r>
        <w:rPr>
          <w:rFonts w:ascii="Times New Roman" w:hAnsi="Times New Roman" w:eastAsia="仿宋_GB2312"/>
          <w:sz w:val="32"/>
          <w:szCs w:val="32"/>
        </w:rPr>
        <w:t>加大法律援助民生工程宣传力度，教育和引导群众选择法律途径维权。把法治教育纳入国民教育体系，深入开展全民法治宣传教育，落实普法责任制。增强全社会特别是公职人员尊法学法守法用法观念，在全社会形成良好法治氛围和法治习惯。</w:t>
      </w:r>
    </w:p>
    <w:p w14:paraId="0A89F7C3">
      <w:pPr>
        <w:ind w:firstLine="643" w:firstLineChars="200"/>
        <w:rPr>
          <w:rFonts w:ascii="Times New Roman" w:hAnsi="Times New Roman" w:eastAsia="仿宋_GB2312"/>
          <w:sz w:val="32"/>
          <w:szCs w:val="32"/>
        </w:rPr>
      </w:pPr>
      <w:r>
        <w:rPr>
          <w:rFonts w:ascii="Times New Roman" w:hAnsi="Times New Roman" w:eastAsia="仿宋_GB2312"/>
          <w:b/>
          <w:sz w:val="32"/>
          <w:szCs w:val="32"/>
        </w:rPr>
        <w:t>提升社会治理能力。</w:t>
      </w:r>
      <w:r>
        <w:rPr>
          <w:rFonts w:ascii="Times New Roman" w:hAnsi="Times New Roman" w:eastAsia="仿宋_GB2312"/>
          <w:sz w:val="32"/>
          <w:szCs w:val="32"/>
        </w:rPr>
        <w:t>健全完善党建引领下的基层治理体系</w:t>
      </w:r>
      <w:r>
        <w:rPr>
          <w:rFonts w:ascii="Times New Roman" w:hAnsi="Times New Roman" w:eastAsia="仿宋_GB2312"/>
          <w:sz w:val="32"/>
        </w:rPr>
        <w:t>，发挥群众参与治理主体作用，</w:t>
      </w:r>
      <w:r>
        <w:rPr>
          <w:rFonts w:ascii="Times New Roman" w:hAnsi="Times New Roman" w:eastAsia="仿宋_GB2312"/>
          <w:sz w:val="32"/>
          <w:szCs w:val="32"/>
        </w:rPr>
        <w:t>大力培育居民自治力量，构建多层次、全域化、制度化的基层民主协商制度，打造共建共治共享格局。</w:t>
      </w:r>
      <w:r>
        <w:rPr>
          <w:rFonts w:hint="eastAsia" w:ascii="Times New Roman" w:hAnsi="Times New Roman" w:eastAsia="仿宋_GB2312"/>
          <w:sz w:val="32"/>
          <w:szCs w:val="32"/>
        </w:rPr>
        <w:t>创新社会治理方式，推动社会治理和服务重心向乡镇、村（社区）下沉，提升社会治理</w:t>
      </w:r>
      <w:r>
        <w:rPr>
          <w:rFonts w:ascii="Times New Roman" w:hAnsi="Times New Roman" w:eastAsia="仿宋_GB2312"/>
          <w:sz w:val="32"/>
          <w:szCs w:val="32"/>
        </w:rPr>
        <w:t>精细化、</w:t>
      </w:r>
      <w:r>
        <w:rPr>
          <w:rFonts w:hint="eastAsia" w:ascii="Times New Roman" w:hAnsi="Times New Roman" w:eastAsia="仿宋_GB2312"/>
          <w:sz w:val="32"/>
          <w:szCs w:val="32"/>
        </w:rPr>
        <w:t>专业化、</w:t>
      </w:r>
      <w:r>
        <w:rPr>
          <w:rFonts w:ascii="Times New Roman" w:hAnsi="Times New Roman" w:eastAsia="仿宋_GB2312"/>
          <w:sz w:val="32"/>
          <w:szCs w:val="32"/>
        </w:rPr>
        <w:t>个性化</w:t>
      </w:r>
      <w:r>
        <w:rPr>
          <w:rFonts w:hint="eastAsia" w:ascii="Times New Roman" w:hAnsi="Times New Roman" w:eastAsia="仿宋_GB2312"/>
          <w:sz w:val="32"/>
          <w:szCs w:val="32"/>
        </w:rPr>
        <w:t>水平。创新发展新时代“枫桥经验”升级版，打造“六尺巷调解工作法”升级版，推行“村民说事”制度。依托互联网、物联网、大数据等信息技术，搭建多元社会治理和公共服务平台，推动数字技术与政府治理深度融合，做实并拓展“文都e家”平台应用，实现党建、综治、城管、便民服务网格一体化管理。完善社区管理和服务，推进智慧社区建设，</w:t>
      </w:r>
      <w:r>
        <w:rPr>
          <w:rFonts w:ascii="Times New Roman" w:hAnsi="Times New Roman" w:eastAsia="仿宋_GB2312"/>
          <w:sz w:val="32"/>
          <w:szCs w:val="32"/>
        </w:rPr>
        <w:t>提升社区管理服务水平。</w:t>
      </w:r>
      <w:r>
        <w:rPr>
          <w:rFonts w:hint="eastAsia" w:ascii="Times New Roman" w:hAnsi="Times New Roman" w:eastAsia="仿宋_GB2312"/>
          <w:sz w:val="32"/>
          <w:szCs w:val="32"/>
        </w:rPr>
        <w:t>大力培育发展社会组织，推动社会组织创新发展，发挥群团组织、社会组织、行业协会作用，夯实基层社会治理基础。</w:t>
      </w:r>
    </w:p>
    <w:p w14:paraId="54567615">
      <w:pPr>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防范化解社会风险。</w:t>
      </w:r>
      <w:r>
        <w:rPr>
          <w:rFonts w:hint="eastAsia" w:ascii="Times New Roman" w:hAnsi="Times New Roman" w:eastAsia="仿宋_GB2312"/>
          <w:sz w:val="32"/>
          <w:szCs w:val="32"/>
        </w:rPr>
        <w:t>健全重大决策社会稳定风险评估机制，分领域完善风险监测预警指标，全方位防控各领域重大风险。完善社会矛盾排查预警和多元化解决机制，建立畅通有序的诉求表达、心理干预、矛盾调处、权益保障机制。拓宽社情民意表达渠道，引导群众以理性合法的形式表达利益诉求，大力推行“阳光信访”。完善人民调解、行政调解、司法调解联动工作体系。健全社会心理服务体系，加强对特殊人群的心理疏导和矫治。</w:t>
      </w:r>
    </w:p>
    <w:p w14:paraId="39AE040E">
      <w:pPr>
        <w:ind w:firstLine="643" w:firstLineChars="200"/>
        <w:rPr>
          <w:rFonts w:ascii="Times New Roman" w:hAnsi="Times New Roman" w:eastAsia="仿宋_GB2312"/>
          <w:sz w:val="32"/>
        </w:rPr>
      </w:pPr>
      <w:r>
        <w:rPr>
          <w:rFonts w:hint="eastAsia" w:ascii="Times New Roman" w:hAnsi="Times New Roman" w:eastAsia="仿宋_GB2312"/>
          <w:b/>
          <w:sz w:val="32"/>
        </w:rPr>
        <w:t>构建和谐劳动关系。</w:t>
      </w:r>
      <w:r>
        <w:rPr>
          <w:rFonts w:hint="eastAsia" w:ascii="Times New Roman" w:hAnsi="Times New Roman" w:eastAsia="仿宋_GB2312"/>
          <w:sz w:val="32"/>
        </w:rPr>
        <w:t>健全党委领导、政府负责、社会协同、企业和职工参与、法治保障的工作体制，形成源头治理、预防为主、动态管理、应急处置相结合的工作协调机制。加大劳动保障监察执法力度，依法保障劳动者合法权益。健全劳动关系矛盾调处机制，有效预防和化解劳动关系矛盾，建立规范有序、公正合理、互利共赢、和谐稳定的劳动关系。</w:t>
      </w:r>
    </w:p>
    <w:p w14:paraId="6A6DF4AD">
      <w:pPr>
        <w:pStyle w:val="5"/>
      </w:pPr>
      <w:bookmarkStart w:id="106" w:name="_Toc30842"/>
      <w:r>
        <w:rPr>
          <w:rFonts w:hint="eastAsia"/>
        </w:rPr>
        <w:t>第</w:t>
      </w:r>
      <w:r>
        <w:rPr>
          <w:rFonts w:hint="eastAsia"/>
          <w:lang w:val="en-US" w:eastAsia="zh-CN"/>
        </w:rPr>
        <w:t>九</w:t>
      </w:r>
      <w:r>
        <w:rPr>
          <w:rFonts w:hint="eastAsia"/>
        </w:rPr>
        <w:t>节</w:t>
      </w:r>
      <w:r>
        <w:rPr>
          <w:rFonts w:hint="eastAsia"/>
          <w:lang w:val="en-US" w:eastAsia="zh-CN"/>
        </w:rPr>
        <w:t xml:space="preserve"> </w:t>
      </w:r>
      <w:r>
        <w:rPr>
          <w:rFonts w:hint="eastAsia"/>
        </w:rPr>
        <w:t>提高平安桐城建设水平</w:t>
      </w:r>
      <w:bookmarkEnd w:id="106"/>
    </w:p>
    <w:p w14:paraId="763E8667">
      <w:pPr>
        <w:spacing w:line="620" w:lineRule="exact"/>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加强国家安全体系和能力建设</w:t>
      </w:r>
      <w:r>
        <w:rPr>
          <w:rFonts w:hint="eastAsia" w:ascii="Times New Roman" w:hAnsi="Times New Roman" w:eastAsia="仿宋_GB2312"/>
          <w:sz w:val="32"/>
          <w:szCs w:val="32"/>
        </w:rPr>
        <w:t>。贯彻落实中央、省委和安庆市委防范化解重大风险决策部署，</w:t>
      </w:r>
      <w:bookmarkStart w:id="107" w:name="_Hlk59379708"/>
      <w:r>
        <w:rPr>
          <w:rFonts w:hint="eastAsia" w:ascii="Times New Roman" w:hAnsi="Times New Roman" w:eastAsia="仿宋_GB2312"/>
          <w:sz w:val="32"/>
          <w:szCs w:val="32"/>
        </w:rPr>
        <w:t>实施“1+9+N”防范化解</w:t>
      </w:r>
      <w:r>
        <w:rPr>
          <w:rFonts w:hint="eastAsia" w:ascii="Times New Roman" w:hAnsi="Times New Roman" w:eastAsia="仿宋_GB2312"/>
          <w:sz w:val="32"/>
          <w:szCs w:val="32"/>
          <w:lang w:val="en-US" w:eastAsia="zh-CN"/>
        </w:rPr>
        <w:t>重大风险</w:t>
      </w:r>
      <w:r>
        <w:rPr>
          <w:rFonts w:hint="eastAsia" w:ascii="Times New Roman" w:hAnsi="Times New Roman" w:eastAsia="仿宋_GB2312"/>
          <w:sz w:val="32"/>
          <w:szCs w:val="32"/>
        </w:rPr>
        <w:t>工程，</w:t>
      </w:r>
      <w:bookmarkEnd w:id="107"/>
      <w:r>
        <w:rPr>
          <w:rFonts w:hint="eastAsia" w:ascii="Times New Roman" w:hAnsi="Times New Roman" w:eastAsia="仿宋_GB2312"/>
          <w:sz w:val="32"/>
          <w:szCs w:val="32"/>
        </w:rPr>
        <w:t>把安全发展贯穿经济社会发展各领域和全过程。完善国家安全领导体制和工作机制，健全国家安全法规制度体系，落实国家安全审查制度，加强国家安全执法。加强国家安全宣传教育，增强全民国家安全意识。坚定维护国家政权安全、制度安全、意识形态安全，加强网络安全保障体系和能力建设。</w:t>
      </w:r>
      <w:r>
        <w:rPr>
          <w:rFonts w:hint="eastAsia" w:ascii="Times New Roman" w:hAnsi="Times New Roman" w:eastAsia="仿宋_GB2312"/>
          <w:sz w:val="32"/>
          <w:szCs w:val="32"/>
          <w:lang w:val="en-US" w:eastAsia="zh-CN"/>
        </w:rPr>
        <w:t>逐步健全密码工作运转机制，在金融和重要领域信息化建设中落实国产密码应用，完善应用经费保障。</w:t>
      </w:r>
      <w:r>
        <w:rPr>
          <w:rFonts w:hint="eastAsia" w:ascii="Times New Roman" w:hAnsi="Times New Roman" w:eastAsia="仿宋_GB2312"/>
          <w:sz w:val="32"/>
          <w:szCs w:val="32"/>
        </w:rPr>
        <w:t>深化反渗透反颠覆反间谍反邪教反恐怖斗争。</w:t>
      </w:r>
    </w:p>
    <w:p w14:paraId="46BB28D0">
      <w:pPr>
        <w:pStyle w:val="9"/>
        <w:ind w:firstLine="643"/>
        <w:rPr>
          <w:rFonts w:ascii="Times New Roman" w:hAnsi="Times New Roman" w:eastAsia="仿宋_GB2312"/>
          <w:sz w:val="32"/>
          <w:szCs w:val="32"/>
        </w:rPr>
      </w:pPr>
      <w:r>
        <w:rPr>
          <w:rFonts w:hint="eastAsia" w:ascii="Times New Roman" w:hAnsi="Times New Roman" w:eastAsia="仿宋_GB2312"/>
          <w:b/>
          <w:sz w:val="32"/>
          <w:szCs w:val="32"/>
        </w:rPr>
        <w:t>强化重点领域安全保障。</w:t>
      </w:r>
      <w:r>
        <w:rPr>
          <w:rFonts w:hint="eastAsia" w:ascii="Times New Roman" w:hAnsi="Times New Roman" w:eastAsia="仿宋_GB2312"/>
          <w:sz w:val="32"/>
          <w:szCs w:val="32"/>
        </w:rPr>
        <w:t>增强产业体系抗冲击能力，确保粮食安全，维护水利、电力、供水、油气、交通、通信、网络、金融等重要基础设施安全，保障能源安全。稳妥有序化解政府债务风险、地方法人金融机构风险，持续优化金融生态环境，守住不发生系统性风险底线。确保生态安全，维护新型领域安全。</w:t>
      </w:r>
    </w:p>
    <w:p w14:paraId="7E766C7C">
      <w:pPr>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维护城市安全和稳定</w:t>
      </w:r>
      <w:r>
        <w:rPr>
          <w:rFonts w:ascii="Times New Roman" w:hAnsi="Times New Roman" w:eastAsia="仿宋_GB2312"/>
          <w:b/>
          <w:sz w:val="32"/>
          <w:szCs w:val="32"/>
        </w:rPr>
        <w:t>。</w:t>
      </w:r>
      <w:r>
        <w:rPr>
          <w:rFonts w:ascii="Times New Roman" w:hAnsi="Times New Roman" w:eastAsia="仿宋_GB2312"/>
          <w:sz w:val="32"/>
          <w:szCs w:val="32"/>
        </w:rPr>
        <w:t>加快构建立体化、信息化社会治安防控体系，营造长治久安的社会环境，争创全国</w:t>
      </w:r>
      <w:r>
        <w:rPr>
          <w:rFonts w:hint="eastAsia" w:ascii="Times New Roman" w:hAnsi="Times New Roman" w:eastAsia="仿宋_GB2312"/>
          <w:sz w:val="32"/>
          <w:szCs w:val="32"/>
        </w:rPr>
        <w:t>社会治安综合治理先进县（市）</w:t>
      </w:r>
      <w:r>
        <w:rPr>
          <w:rFonts w:ascii="Times New Roman" w:hAnsi="Times New Roman" w:eastAsia="仿宋_GB2312"/>
          <w:sz w:val="32"/>
          <w:szCs w:val="32"/>
        </w:rPr>
        <w:t>。持续开展守护平安系列行动，推动平安镇（街道）、村（社区）、校园、医院、企业、家庭、住宅小区等“七大基层系列平安创建”。</w:t>
      </w:r>
      <w:r>
        <w:rPr>
          <w:rFonts w:hint="eastAsia" w:ascii="Times New Roman" w:hAnsi="Times New Roman" w:eastAsia="仿宋_GB2312"/>
          <w:sz w:val="32"/>
          <w:szCs w:val="32"/>
        </w:rPr>
        <w:t>坚持专项打击与重点整治相结合，常态化开展扫黑除恶</w:t>
      </w:r>
      <w:r>
        <w:rPr>
          <w:rFonts w:ascii="Times New Roman" w:hAnsi="Times New Roman" w:eastAsia="仿宋_GB2312"/>
          <w:sz w:val="32"/>
          <w:szCs w:val="32"/>
        </w:rPr>
        <w:t>，</w:t>
      </w:r>
      <w:r>
        <w:rPr>
          <w:rFonts w:hint="eastAsia" w:ascii="Times New Roman" w:hAnsi="Times New Roman" w:eastAsia="仿宋_GB2312"/>
          <w:sz w:val="32"/>
          <w:szCs w:val="32"/>
        </w:rPr>
        <w:t>严厉打击各类违法犯罪，强力整治治安突出问题</w:t>
      </w:r>
      <w:r>
        <w:rPr>
          <w:rFonts w:ascii="Times New Roman" w:hAnsi="Times New Roman" w:eastAsia="仿宋_GB2312"/>
          <w:sz w:val="32"/>
          <w:szCs w:val="32"/>
        </w:rPr>
        <w:t>。</w:t>
      </w:r>
      <w:r>
        <w:rPr>
          <w:rFonts w:hint="eastAsia" w:ascii="Times New Roman" w:hAnsi="Times New Roman" w:eastAsia="仿宋_GB2312"/>
          <w:sz w:val="32"/>
          <w:szCs w:val="32"/>
        </w:rPr>
        <w:t>深入推进“雪亮工程”，加强老旧小区视频监控系统建设，补齐农村地区治安防控短板，实现农村各村民组监控视频全覆盖。加强智慧安防小区建设，积极推进幼儿园、中小学等重点场所智能研判和预警响应处置“前哨”系统建设。</w:t>
      </w:r>
    </w:p>
    <w:p w14:paraId="2E7849BE">
      <w:pPr>
        <w:ind w:firstLine="643" w:firstLineChars="200"/>
        <w:rPr>
          <w:rFonts w:ascii="Times New Roman" w:hAnsi="Times New Roman" w:eastAsia="仿宋_GB2312"/>
          <w:sz w:val="32"/>
          <w:szCs w:val="32"/>
        </w:rPr>
      </w:pPr>
      <w:r>
        <w:rPr>
          <w:rFonts w:ascii="Times New Roman" w:hAnsi="Times New Roman" w:eastAsia="仿宋_GB2312"/>
          <w:b/>
          <w:sz w:val="32"/>
          <w:szCs w:val="32"/>
        </w:rPr>
        <w:t>完善公共安全</w:t>
      </w:r>
      <w:r>
        <w:rPr>
          <w:rFonts w:hint="eastAsia" w:ascii="Times New Roman" w:hAnsi="Times New Roman" w:eastAsia="仿宋_GB2312"/>
          <w:b/>
          <w:sz w:val="32"/>
          <w:szCs w:val="32"/>
        </w:rPr>
        <w:t>和应急管理</w:t>
      </w:r>
      <w:r>
        <w:rPr>
          <w:rFonts w:ascii="Times New Roman" w:hAnsi="Times New Roman" w:eastAsia="仿宋_GB2312"/>
          <w:b/>
          <w:sz w:val="32"/>
          <w:szCs w:val="32"/>
        </w:rPr>
        <w:t>体系。</w:t>
      </w:r>
      <w:r>
        <w:rPr>
          <w:rFonts w:hint="eastAsia" w:ascii="Times New Roman" w:hAnsi="Times New Roman" w:eastAsia="仿宋_GB2312"/>
          <w:sz w:val="32"/>
          <w:szCs w:val="32"/>
        </w:rPr>
        <w:t>强化风险意识，加强源头管理，建立重大安全风险研判、评估、决策、防控协同机制。加强应急预案管理，强化各级各类应急预案衔接。</w:t>
      </w:r>
      <w:r>
        <w:rPr>
          <w:rFonts w:hint="eastAsia" w:ascii="Times New Roman" w:hAnsi="Times New Roman" w:eastAsia="仿宋_GB2312"/>
          <w:sz w:val="32"/>
          <w:szCs w:val="32"/>
          <w:lang w:val="en-US" w:eastAsia="zh-CN"/>
        </w:rPr>
        <w:t>进一步推进安全生产“铸安”行动常态化、实效化和风险管控“六项机制”制度化、规范化</w:t>
      </w:r>
      <w:r>
        <w:rPr>
          <w:rFonts w:hint="eastAsia" w:ascii="Times New Roman" w:hAnsi="Times New Roman" w:eastAsia="仿宋_GB2312"/>
          <w:sz w:val="32"/>
          <w:szCs w:val="32"/>
        </w:rPr>
        <w:t>，加</w:t>
      </w:r>
      <w:r>
        <w:rPr>
          <w:rFonts w:ascii="Times New Roman" w:hAnsi="Times New Roman" w:eastAsia="仿宋_GB2312"/>
          <w:sz w:val="32"/>
          <w:szCs w:val="32"/>
        </w:rPr>
        <w:t>强对重点行业领域的安全风险排查，强化源头治理、分类监管、全程追溯，严守食品药品、特种设备和工业产品质量安全底线。</w:t>
      </w:r>
      <w:r>
        <w:rPr>
          <w:rFonts w:hint="eastAsia" w:ascii="Times New Roman" w:hAnsi="Times New Roman" w:eastAsia="仿宋_GB2312"/>
          <w:sz w:val="32"/>
          <w:szCs w:val="32"/>
        </w:rPr>
        <w:t>抓实抓细常态化疫情防控措施，</w:t>
      </w:r>
      <w:r>
        <w:rPr>
          <w:rFonts w:ascii="Times New Roman" w:hAnsi="Times New Roman" w:eastAsia="仿宋_GB2312"/>
          <w:sz w:val="32"/>
          <w:szCs w:val="32"/>
        </w:rPr>
        <w:t>加强公共卫生事件应急处理和医疗救治队伍建设，提高卫生人员整体业务素质以及突发事件的防范意识和应急能力。</w:t>
      </w:r>
      <w:r>
        <w:rPr>
          <w:rFonts w:hint="eastAsia" w:ascii="Times New Roman" w:hAnsi="Times New Roman" w:eastAsia="仿宋_GB2312"/>
          <w:sz w:val="32"/>
          <w:szCs w:val="32"/>
        </w:rPr>
        <w:t>健全道路交通安全风险分级分类管控机制，提升综合救治能力。</w:t>
      </w:r>
      <w:r>
        <w:rPr>
          <w:rFonts w:ascii="Times New Roman" w:hAnsi="Times New Roman" w:eastAsia="仿宋_GB2312"/>
          <w:sz w:val="32"/>
          <w:szCs w:val="32"/>
        </w:rPr>
        <w:t>完善区域性重大灾害事故联防联控机制，加强气象、水文、地震等工作，增强综合防灾减灾救灾能力和应急处置能力。支持国防和军队建设，强化退役军人管理保障，完善新时代国防动员体系，扎实做好全民国防教育、武警、双拥、人民防空、烈士纪念设施管理等工作。完善公民安全教育体系，加强公益宣传，普及安全知识。</w:t>
      </w:r>
    </w:p>
    <w:tbl>
      <w:tblPr>
        <w:tblStyle w:val="2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2290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0750959A">
            <w:pPr>
              <w:tabs>
                <w:tab w:val="left" w:pos="540"/>
              </w:tabs>
              <w:snapToGrid w:val="0"/>
              <w:spacing w:line="360" w:lineRule="auto"/>
              <w:jc w:val="center"/>
              <w:rPr>
                <w:rFonts w:ascii="楷体" w:hAnsi="楷体" w:eastAsia="楷体" w:cs="仿宋_GB2312"/>
                <w:b/>
                <w:sz w:val="30"/>
                <w:szCs w:val="30"/>
                <w:lang w:val="zh-CN"/>
              </w:rPr>
            </w:pPr>
            <w:r>
              <w:rPr>
                <w:rFonts w:hint="eastAsia" w:ascii="楷体" w:hAnsi="楷体" w:eastAsia="楷体" w:cs="仿宋_GB2312"/>
                <w:b/>
                <w:sz w:val="30"/>
                <w:szCs w:val="30"/>
                <w:lang w:val="zh-CN"/>
              </w:rPr>
              <w:t>专栏1</w:t>
            </w:r>
            <w:r>
              <w:rPr>
                <w:rFonts w:hint="eastAsia" w:ascii="楷体" w:hAnsi="楷体" w:eastAsia="楷体" w:cs="仿宋_GB2312"/>
                <w:b/>
                <w:sz w:val="30"/>
                <w:szCs w:val="30"/>
                <w:lang w:val="en-US" w:eastAsia="zh-CN"/>
              </w:rPr>
              <w:t>7</w:t>
            </w:r>
            <w:r>
              <w:rPr>
                <w:rFonts w:hint="eastAsia" w:ascii="楷体" w:hAnsi="楷体" w:eastAsia="楷体" w:cs="仿宋_GB2312"/>
                <w:b/>
                <w:sz w:val="30"/>
                <w:szCs w:val="30"/>
                <w:lang w:val="zh-CN"/>
              </w:rPr>
              <w:t>：社会民生重大工程</w:t>
            </w:r>
          </w:p>
          <w:p w14:paraId="45AB7360">
            <w:pPr>
              <w:spacing w:line="400" w:lineRule="exact"/>
              <w:ind w:firstLine="562" w:firstLineChars="200"/>
              <w:rPr>
                <w:rFonts w:hint="eastAsia" w:ascii="Times New Roman" w:hAnsi="Times New Roman" w:eastAsia="仿宋_GB2312"/>
                <w:bCs/>
                <w:sz w:val="28"/>
                <w:szCs w:val="28"/>
                <w:lang w:eastAsia="zh-CN"/>
              </w:rPr>
            </w:pPr>
            <w:r>
              <w:rPr>
                <w:rFonts w:hint="eastAsia" w:ascii="仿宋_GB2312" w:eastAsia="仿宋_GB2312"/>
                <w:b/>
                <w:sz w:val="28"/>
                <w:szCs w:val="28"/>
              </w:rPr>
              <w:t>教育。</w:t>
            </w:r>
            <w:r>
              <w:rPr>
                <w:rFonts w:hint="eastAsia" w:ascii="Times New Roman" w:hAnsi="Times New Roman" w:eastAsia="仿宋_GB2312"/>
                <w:bCs/>
                <w:color w:val="auto"/>
                <w:sz w:val="28"/>
                <w:szCs w:val="28"/>
                <w:lang w:val="en-US" w:eastAsia="zh-CN"/>
              </w:rPr>
              <w:t>选址新建黄岗初中，</w:t>
            </w:r>
            <w:r>
              <w:rPr>
                <w:rFonts w:hint="eastAsia" w:ascii="仿宋_GB2312" w:eastAsia="仿宋_GB2312"/>
                <w:color w:val="auto"/>
                <w:sz w:val="28"/>
                <w:szCs w:val="28"/>
                <w:lang w:val="en-US" w:eastAsia="zh-CN"/>
              </w:rPr>
              <w:t>推进</w:t>
            </w:r>
            <w:r>
              <w:rPr>
                <w:rFonts w:hint="eastAsia" w:ascii="仿宋_GB2312" w:eastAsia="仿宋_GB2312"/>
                <w:sz w:val="28"/>
                <w:szCs w:val="28"/>
                <w:lang w:val="en-US" w:eastAsia="zh-CN"/>
              </w:rPr>
              <w:t>建设</w:t>
            </w:r>
            <w:r>
              <w:rPr>
                <w:rFonts w:hint="eastAsia" w:ascii="Times New Roman" w:hAnsi="Times New Roman" w:eastAsia="仿宋_GB2312"/>
                <w:bCs/>
                <w:sz w:val="28"/>
                <w:szCs w:val="28"/>
              </w:rPr>
              <w:t>桐城市城郊第二中心小学、双港中心小学、碧峰学校、高桥初中等中小学教学楼新建、城区中小学体育场升级改造等；江淮工业学校产教融合三创人才培养实训基地、开放性智能服务综合实训基地等</w:t>
            </w:r>
            <w:r>
              <w:rPr>
                <w:rFonts w:hint="eastAsia" w:ascii="Times New Roman" w:hAnsi="Times New Roman" w:eastAsia="仿宋_GB2312"/>
                <w:bCs/>
                <w:sz w:val="28"/>
                <w:szCs w:val="28"/>
                <w:lang w:eastAsia="zh-CN"/>
              </w:rPr>
              <w:t>。</w:t>
            </w:r>
          </w:p>
          <w:p w14:paraId="491F796A">
            <w:pPr>
              <w:spacing w:line="400" w:lineRule="exact"/>
              <w:ind w:firstLine="562" w:firstLineChars="200"/>
              <w:rPr>
                <w:rFonts w:hint="eastAsia" w:ascii="仿宋_GB2312" w:eastAsia="仿宋_GB2312"/>
                <w:sz w:val="28"/>
                <w:szCs w:val="28"/>
                <w:lang w:eastAsia="zh-CN"/>
              </w:rPr>
            </w:pPr>
            <w:r>
              <w:rPr>
                <w:rFonts w:hint="eastAsia" w:ascii="仿宋_GB2312" w:eastAsia="仿宋_GB2312"/>
                <w:b/>
                <w:sz w:val="28"/>
                <w:szCs w:val="28"/>
              </w:rPr>
              <w:t>公共文化。</w:t>
            </w:r>
            <w:r>
              <w:rPr>
                <w:rFonts w:hint="eastAsia" w:ascii="仿宋_GB2312" w:eastAsia="仿宋_GB2312"/>
                <w:sz w:val="28"/>
                <w:szCs w:val="28"/>
                <w:lang w:val="en-US" w:eastAsia="zh-CN"/>
              </w:rPr>
              <w:t>推进建设</w:t>
            </w:r>
            <w:r>
              <w:rPr>
                <w:rFonts w:hint="eastAsia" w:ascii="仿宋_GB2312" w:eastAsia="仿宋_GB2312"/>
                <w:sz w:val="28"/>
                <w:szCs w:val="28"/>
              </w:rPr>
              <w:t>历史文化名城、名镇、名村修缮、三街一巷保护工程；新建市文化馆、市图书馆、玉文化博物馆、桐城历史名人馆、桐城市红色文化教育基地、市青少年校外活动中心、桐城儒家思想研学基地、改造桐城剧院；桐城市应急广播体系；金神镇文化体育服务中心、孔城党史</w:t>
            </w:r>
            <w:r>
              <w:rPr>
                <w:rFonts w:hint="eastAsia" w:ascii="仿宋_GB2312" w:eastAsia="仿宋_GB2312"/>
                <w:sz w:val="28"/>
                <w:szCs w:val="28"/>
                <w:lang w:val="en-US" w:eastAsia="zh-CN"/>
              </w:rPr>
              <w:t>学习</w:t>
            </w:r>
            <w:r>
              <w:rPr>
                <w:rFonts w:hint="eastAsia" w:ascii="仿宋_GB2312" w:eastAsia="仿宋_GB2312"/>
                <w:sz w:val="28"/>
                <w:szCs w:val="28"/>
              </w:rPr>
              <w:t>教育中心</w:t>
            </w:r>
            <w:r>
              <w:rPr>
                <w:rFonts w:hint="eastAsia" w:ascii="仿宋_GB2312" w:eastAsia="仿宋_GB2312"/>
                <w:sz w:val="28"/>
                <w:szCs w:val="28"/>
                <w:lang w:eastAsia="zh-CN"/>
              </w:rPr>
              <w:t>。</w:t>
            </w:r>
          </w:p>
          <w:p w14:paraId="17F7877C">
            <w:pPr>
              <w:spacing w:line="400" w:lineRule="exact"/>
              <w:ind w:firstLine="562" w:firstLineChars="200"/>
              <w:rPr>
                <w:rFonts w:hint="eastAsia" w:ascii="仿宋_GB2312" w:eastAsia="仿宋_GB2312"/>
                <w:b/>
                <w:bCs/>
                <w:sz w:val="28"/>
                <w:szCs w:val="28"/>
                <w:lang w:eastAsia="zh-CN"/>
              </w:rPr>
            </w:pPr>
            <w:r>
              <w:rPr>
                <w:rFonts w:hint="eastAsia" w:ascii="仿宋_GB2312" w:eastAsia="仿宋_GB2312"/>
                <w:b/>
                <w:sz w:val="28"/>
                <w:szCs w:val="28"/>
              </w:rPr>
              <w:t>医疗卫生。</w:t>
            </w:r>
            <w:r>
              <w:rPr>
                <w:rFonts w:hint="eastAsia" w:ascii="仿宋_GB2312" w:eastAsia="仿宋_GB2312"/>
                <w:sz w:val="28"/>
                <w:szCs w:val="28"/>
                <w:lang w:val="en-US" w:eastAsia="zh-CN"/>
              </w:rPr>
              <w:t>推进建设</w:t>
            </w:r>
            <w:r>
              <w:rPr>
                <w:rFonts w:hint="eastAsia" w:ascii="仿宋_GB2312" w:eastAsia="仿宋_GB2312"/>
                <w:bCs/>
                <w:sz w:val="28"/>
                <w:szCs w:val="28"/>
              </w:rPr>
              <w:t>市人民医院东城新区、市妇幼保健计划生育服务中心综合楼、市疾控中心检测检验中心、市中医院门急诊综合楼、桐城市“互联网+医疗健康”、桐城市卫生健康服务能力提升工程、桐城市卫生应急物资储备中心、第三人民医院综合楼、市血防附属医院医技楼、龙腾社区卫生服务中心、青草中心卫生院等</w:t>
            </w:r>
            <w:r>
              <w:rPr>
                <w:rFonts w:hint="eastAsia" w:ascii="仿宋_GB2312" w:eastAsia="仿宋_GB2312"/>
                <w:bCs/>
                <w:sz w:val="28"/>
                <w:szCs w:val="28"/>
                <w:lang w:eastAsia="zh-CN"/>
              </w:rPr>
              <w:t>。</w:t>
            </w:r>
          </w:p>
          <w:p w14:paraId="43A419B0">
            <w:pPr>
              <w:spacing w:line="400" w:lineRule="exact"/>
              <w:ind w:firstLine="562" w:firstLineChars="200"/>
              <w:rPr>
                <w:rFonts w:hint="eastAsia" w:ascii="仿宋_GB2312" w:eastAsia="仿宋_GB2312"/>
                <w:sz w:val="28"/>
                <w:szCs w:val="28"/>
                <w:lang w:eastAsia="zh-CN"/>
              </w:rPr>
            </w:pPr>
            <w:r>
              <w:rPr>
                <w:rFonts w:hint="eastAsia" w:ascii="仿宋_GB2312" w:eastAsia="仿宋_GB2312"/>
                <w:b/>
                <w:sz w:val="28"/>
                <w:szCs w:val="28"/>
              </w:rPr>
              <w:t>养老托育。</w:t>
            </w:r>
            <w:r>
              <w:rPr>
                <w:rFonts w:hint="eastAsia" w:ascii="仿宋_GB2312" w:eastAsia="仿宋_GB2312"/>
                <w:sz w:val="28"/>
                <w:szCs w:val="28"/>
                <w:lang w:val="en-US" w:eastAsia="zh-CN"/>
              </w:rPr>
              <w:t>推进建设</w:t>
            </w:r>
            <w:r>
              <w:rPr>
                <w:rFonts w:hint="eastAsia" w:ascii="仿宋_GB2312" w:eastAsia="仿宋_GB2312"/>
                <w:sz w:val="28"/>
                <w:szCs w:val="28"/>
              </w:rPr>
              <w:t>市敬老院改造升级、市失能半失能老人养护中心、市三级养老服务中心、孔城红豆杉健康小镇、唐湾镇养老院、金神镇敬老院扩建、大关镇医养院、黄甲康养中心、吕亭镇康养中心、双新康养中心、桐城市城市社区托育中心等</w:t>
            </w:r>
            <w:r>
              <w:rPr>
                <w:rFonts w:hint="eastAsia" w:ascii="仿宋_GB2312" w:eastAsia="仿宋_GB2312"/>
                <w:sz w:val="28"/>
                <w:szCs w:val="28"/>
                <w:lang w:eastAsia="zh-CN"/>
              </w:rPr>
              <w:t>。</w:t>
            </w:r>
          </w:p>
          <w:p w14:paraId="45253B0A">
            <w:pPr>
              <w:spacing w:line="400" w:lineRule="exact"/>
              <w:ind w:firstLine="562" w:firstLineChars="200"/>
              <w:rPr>
                <w:rFonts w:hint="eastAsia" w:ascii="仿宋_GB2312" w:eastAsia="仿宋_GB2312"/>
                <w:sz w:val="28"/>
                <w:szCs w:val="28"/>
                <w:lang w:eastAsia="zh-CN"/>
              </w:rPr>
            </w:pPr>
            <w:r>
              <w:rPr>
                <w:rFonts w:hint="eastAsia" w:ascii="仿宋_GB2312" w:eastAsia="仿宋_GB2312"/>
                <w:b/>
                <w:sz w:val="28"/>
                <w:szCs w:val="28"/>
              </w:rPr>
              <w:t>体育健身。</w:t>
            </w:r>
            <w:r>
              <w:rPr>
                <w:rFonts w:hint="eastAsia" w:ascii="仿宋_GB2312" w:eastAsia="仿宋_GB2312"/>
                <w:sz w:val="28"/>
                <w:szCs w:val="28"/>
                <w:lang w:val="en-US" w:eastAsia="zh-CN"/>
              </w:rPr>
              <w:t>推进建设</w:t>
            </w:r>
            <w:r>
              <w:rPr>
                <w:rFonts w:hint="eastAsia" w:ascii="仿宋_GB2312" w:eastAsia="仿宋_GB2312"/>
                <w:sz w:val="28"/>
                <w:szCs w:val="28"/>
              </w:rPr>
              <w:t>桐城市全民</w:t>
            </w:r>
            <w:r>
              <w:rPr>
                <w:rFonts w:hint="eastAsia" w:ascii="仿宋_GB2312" w:eastAsia="仿宋_GB2312"/>
                <w:sz w:val="28"/>
                <w:szCs w:val="28"/>
                <w:lang w:eastAsia="zh-CN"/>
              </w:rPr>
              <w:t>健身</w:t>
            </w:r>
            <w:r>
              <w:rPr>
                <w:rFonts w:hint="eastAsia" w:ascii="仿宋_GB2312" w:eastAsia="仿宋_GB2312"/>
                <w:sz w:val="28"/>
                <w:szCs w:val="28"/>
              </w:rPr>
              <w:t>体育设施提升工程、健身步道、社会足球场等</w:t>
            </w:r>
            <w:r>
              <w:rPr>
                <w:rFonts w:hint="eastAsia" w:ascii="仿宋_GB2312" w:eastAsia="仿宋_GB2312"/>
                <w:sz w:val="28"/>
                <w:szCs w:val="28"/>
                <w:lang w:eastAsia="zh-CN"/>
              </w:rPr>
              <w:t>。</w:t>
            </w:r>
          </w:p>
          <w:p w14:paraId="7292218E">
            <w:pPr>
              <w:spacing w:line="400" w:lineRule="exact"/>
              <w:ind w:firstLine="562" w:firstLineChars="200"/>
              <w:rPr>
                <w:rFonts w:hint="eastAsia" w:ascii="Times New Roman" w:hAnsi="Times New Roman" w:eastAsia="仿宋_GB2312"/>
                <w:bCs/>
                <w:sz w:val="28"/>
                <w:szCs w:val="28"/>
                <w:lang w:eastAsia="zh-CN"/>
              </w:rPr>
            </w:pPr>
            <w:r>
              <w:rPr>
                <w:rFonts w:hint="eastAsia" w:ascii="仿宋_GB2312" w:eastAsia="仿宋_GB2312"/>
                <w:b/>
                <w:sz w:val="28"/>
                <w:szCs w:val="28"/>
              </w:rPr>
              <w:t>就业和社会保障。</w:t>
            </w:r>
            <w:r>
              <w:rPr>
                <w:rFonts w:hint="eastAsia" w:ascii="仿宋_GB2312" w:eastAsia="仿宋_GB2312"/>
                <w:sz w:val="28"/>
                <w:szCs w:val="28"/>
                <w:lang w:val="en-US" w:eastAsia="zh-CN"/>
              </w:rPr>
              <w:t>推进建设</w:t>
            </w:r>
            <w:r>
              <w:rPr>
                <w:rFonts w:hint="eastAsia" w:ascii="Times New Roman" w:hAnsi="Times New Roman" w:eastAsia="仿宋_GB2312"/>
                <w:bCs/>
                <w:sz w:val="28"/>
                <w:szCs w:val="28"/>
              </w:rPr>
              <w:t>就业和社会保障服务中心、桐城市公共技能实训基地、安庆文都科技职业学校返乡创业就业基地、桐城市经济开发区返乡创业就业基地等</w:t>
            </w:r>
            <w:r>
              <w:rPr>
                <w:rFonts w:hint="eastAsia" w:ascii="Times New Roman" w:hAnsi="Times New Roman" w:eastAsia="仿宋_GB2312"/>
                <w:bCs/>
                <w:sz w:val="28"/>
                <w:szCs w:val="28"/>
                <w:lang w:eastAsia="zh-CN"/>
              </w:rPr>
              <w:t>。</w:t>
            </w:r>
          </w:p>
          <w:p w14:paraId="3D406412">
            <w:pPr>
              <w:spacing w:line="400" w:lineRule="exact"/>
              <w:ind w:firstLine="562" w:firstLineChars="200"/>
              <w:rPr>
                <w:rFonts w:hint="eastAsia" w:ascii="仿宋_GB2312" w:eastAsia="仿宋_GB2312"/>
                <w:b/>
                <w:sz w:val="28"/>
                <w:lang w:eastAsia="zh-CN"/>
              </w:rPr>
            </w:pPr>
            <w:r>
              <w:rPr>
                <w:rFonts w:hint="default" w:ascii="仿宋_GB2312" w:eastAsia="仿宋_GB2312"/>
                <w:b/>
                <w:sz w:val="28"/>
                <w:szCs w:val="28"/>
                <w:lang w:val="en-US" w:eastAsia="zh-CN"/>
              </w:rPr>
              <w:t>综合防灾减灾</w:t>
            </w:r>
            <w:r>
              <w:rPr>
                <w:rFonts w:hint="eastAsia" w:ascii="仿宋_GB2312" w:eastAsia="仿宋_GB2312"/>
                <w:b/>
                <w:sz w:val="28"/>
                <w:szCs w:val="28"/>
                <w:lang w:val="en-US" w:eastAsia="zh-CN"/>
              </w:rPr>
              <w:t>。</w:t>
            </w:r>
            <w:r>
              <w:rPr>
                <w:rFonts w:hint="default" w:ascii="Times New Roman" w:hAnsi="Times New Roman" w:eastAsia="仿宋_GB2312"/>
                <w:bCs/>
                <w:sz w:val="28"/>
                <w:szCs w:val="28"/>
                <w:lang w:val="en-US" w:eastAsia="zh-CN"/>
              </w:rPr>
              <w:t>建设防灾减灾综合科普馆和防灾减灾应急物资储备库，开展桐城市城区活动断层探测和区域性地震安全性评价，加大防灾减灾科普宣传力度。</w:t>
            </w:r>
          </w:p>
        </w:tc>
      </w:tr>
    </w:tbl>
    <w:p w14:paraId="5633322A">
      <w:pPr>
        <w:sectPr>
          <w:footerReference r:id="rId6" w:type="default"/>
          <w:pgSz w:w="11906" w:h="16838"/>
          <w:pgMar w:top="1440" w:right="1800" w:bottom="1440" w:left="1800" w:header="851" w:footer="992" w:gutter="0"/>
          <w:pgNumType w:fmt="decimal"/>
          <w:cols w:space="720" w:num="1"/>
          <w:docGrid w:type="lines" w:linePitch="312" w:charSpace="0"/>
        </w:sectPr>
      </w:pPr>
    </w:p>
    <w:bookmarkEnd w:id="90"/>
    <w:bookmarkEnd w:id="91"/>
    <w:p w14:paraId="66AE6150">
      <w:pPr>
        <w:pStyle w:val="3"/>
        <w:jc w:val="center"/>
        <w:rPr>
          <w:rFonts w:eastAsia="方正小标宋简体"/>
        </w:rPr>
      </w:pPr>
      <w:bookmarkStart w:id="108" w:name="_Toc9144"/>
      <w:bookmarkStart w:id="109" w:name="_Toc53003483"/>
      <w:r>
        <w:rPr>
          <w:rFonts w:eastAsia="方正小标宋简体"/>
        </w:rPr>
        <w:t>强化规划实施保障，推动规划目标任务落地</w:t>
      </w:r>
      <w:bookmarkEnd w:id="108"/>
      <w:bookmarkEnd w:id="109"/>
    </w:p>
    <w:p w14:paraId="0501AC82">
      <w:pPr>
        <w:ind w:firstLine="640" w:firstLineChars="200"/>
        <w:rPr>
          <w:rFonts w:ascii="Times New Roman" w:hAnsi="Times New Roman" w:eastAsia="仿宋_GB2312"/>
          <w:bCs/>
          <w:sz w:val="32"/>
          <w:szCs w:val="32"/>
        </w:rPr>
      </w:pPr>
      <w:r>
        <w:rPr>
          <w:rFonts w:ascii="Times New Roman" w:hAnsi="Times New Roman" w:eastAsia="仿宋_GB2312"/>
          <w:bCs/>
          <w:sz w:val="32"/>
          <w:szCs w:val="32"/>
        </w:rPr>
        <w:t>建立健全规划实施机制，强化统筹协调和制度保障，</w:t>
      </w:r>
      <w:r>
        <w:rPr>
          <w:rFonts w:hint="eastAsia" w:ascii="Times New Roman" w:hAnsi="Times New Roman" w:eastAsia="仿宋_GB2312"/>
          <w:bCs/>
          <w:sz w:val="32"/>
          <w:szCs w:val="32"/>
        </w:rPr>
        <w:t>广泛团结一切可以团结的力量，</w:t>
      </w:r>
      <w:r>
        <w:rPr>
          <w:rFonts w:ascii="Times New Roman" w:hAnsi="Times New Roman" w:eastAsia="仿宋_GB2312"/>
          <w:bCs/>
          <w:sz w:val="32"/>
          <w:szCs w:val="32"/>
        </w:rPr>
        <w:t>最大程度激发</w:t>
      </w:r>
      <w:r>
        <w:rPr>
          <w:rFonts w:hint="eastAsia" w:ascii="Times New Roman" w:hAnsi="Times New Roman" w:eastAsia="仿宋_GB2312"/>
          <w:bCs/>
          <w:sz w:val="32"/>
          <w:szCs w:val="32"/>
        </w:rPr>
        <w:t>全市</w:t>
      </w:r>
      <w:r>
        <w:rPr>
          <w:rFonts w:ascii="Times New Roman" w:hAnsi="Times New Roman" w:eastAsia="仿宋_GB2312"/>
          <w:bCs/>
          <w:sz w:val="32"/>
          <w:szCs w:val="32"/>
        </w:rPr>
        <w:t>人民的积极性、主动性和创造性，</w:t>
      </w:r>
      <w:r>
        <w:rPr>
          <w:rFonts w:hint="eastAsia" w:ascii="Times New Roman" w:hAnsi="Times New Roman" w:eastAsia="仿宋_GB2312"/>
          <w:bCs/>
          <w:sz w:val="32"/>
          <w:szCs w:val="32"/>
        </w:rPr>
        <w:t>形成推动建设新阶段现代化美好桐城的强大合力，</w:t>
      </w:r>
      <w:r>
        <w:rPr>
          <w:rFonts w:ascii="Times New Roman" w:hAnsi="Times New Roman" w:eastAsia="仿宋_GB2312"/>
          <w:bCs/>
          <w:sz w:val="32"/>
          <w:szCs w:val="32"/>
        </w:rPr>
        <w:t>确保“十四五”规划的主要目标和战略任务顺利实现。</w:t>
      </w:r>
    </w:p>
    <w:p w14:paraId="7E5B56C4">
      <w:pPr>
        <w:spacing w:before="100" w:beforeAutospacing="1" w:after="100" w:afterAutospacing="1"/>
        <w:jc w:val="center"/>
        <w:outlineLvl w:val="1"/>
        <w:rPr>
          <w:rFonts w:ascii="Times New Roman" w:hAnsi="Times New Roman" w:eastAsia="黑体"/>
          <w:sz w:val="32"/>
          <w:szCs w:val="32"/>
        </w:rPr>
      </w:pPr>
      <w:bookmarkStart w:id="110" w:name="_Toc52397854"/>
      <w:bookmarkStart w:id="111" w:name="_Toc53003484"/>
      <w:bookmarkStart w:id="112" w:name="_Toc31307"/>
      <w:r>
        <w:rPr>
          <w:rFonts w:ascii="Times New Roman" w:hAnsi="Times New Roman" w:eastAsia="黑体"/>
          <w:sz w:val="32"/>
          <w:szCs w:val="32"/>
        </w:rPr>
        <w:t>第一节</w:t>
      </w:r>
      <w:bookmarkEnd w:id="110"/>
      <w:bookmarkEnd w:id="111"/>
      <w:r>
        <w:rPr>
          <w:rFonts w:hint="eastAsia" w:ascii="Times New Roman" w:hAnsi="Times New Roman" w:eastAsia="黑体"/>
          <w:sz w:val="32"/>
          <w:szCs w:val="32"/>
          <w:lang w:val="en-US" w:eastAsia="zh-CN"/>
        </w:rPr>
        <w:t xml:space="preserve"> </w:t>
      </w:r>
      <w:r>
        <w:rPr>
          <w:rFonts w:hint="eastAsia" w:ascii="Times New Roman" w:hAnsi="Times New Roman" w:eastAsia="黑体"/>
          <w:sz w:val="32"/>
          <w:szCs w:val="32"/>
        </w:rPr>
        <w:t>加强组织领导</w:t>
      </w:r>
      <w:bookmarkEnd w:id="112"/>
    </w:p>
    <w:p w14:paraId="494ADD81">
      <w:pPr>
        <w:ind w:firstLine="643" w:firstLineChars="200"/>
        <w:rPr>
          <w:rFonts w:ascii="Times New Roman" w:hAnsi="Times New Roman" w:eastAsia="仿宋_GB2312"/>
          <w:sz w:val="32"/>
          <w:szCs w:val="32"/>
        </w:rPr>
      </w:pPr>
      <w:r>
        <w:rPr>
          <w:rFonts w:ascii="Times New Roman" w:hAnsi="Times New Roman" w:eastAsia="仿宋_GB2312"/>
          <w:b/>
          <w:sz w:val="32"/>
          <w:szCs w:val="32"/>
        </w:rPr>
        <w:t>坚持党的领导。</w:t>
      </w:r>
      <w:r>
        <w:rPr>
          <w:rFonts w:ascii="Times New Roman" w:hAnsi="Times New Roman" w:eastAsia="仿宋_GB2312"/>
          <w:sz w:val="32"/>
          <w:szCs w:val="32"/>
        </w:rPr>
        <w:t>坚持党总揽全局、协调各方。加强党的政治建设</w:t>
      </w:r>
      <w:r>
        <w:rPr>
          <w:rFonts w:hint="eastAsia" w:ascii="Times New Roman" w:hAnsi="Times New Roman" w:eastAsia="仿宋_GB2312"/>
          <w:sz w:val="32"/>
          <w:szCs w:val="32"/>
        </w:rPr>
        <w:t>，</w:t>
      </w:r>
      <w:r>
        <w:rPr>
          <w:rFonts w:ascii="Times New Roman" w:hAnsi="Times New Roman" w:eastAsia="仿宋_GB2312"/>
          <w:sz w:val="32"/>
          <w:szCs w:val="32"/>
        </w:rPr>
        <w:t>推动全市广大党员</w:t>
      </w:r>
      <w:r>
        <w:rPr>
          <w:rFonts w:hint="eastAsia" w:ascii="Times New Roman" w:hAnsi="Times New Roman" w:eastAsia="仿宋_GB2312"/>
          <w:sz w:val="32"/>
          <w:szCs w:val="32"/>
        </w:rPr>
        <w:t>、</w:t>
      </w:r>
      <w:r>
        <w:rPr>
          <w:rFonts w:ascii="Times New Roman" w:hAnsi="Times New Roman" w:eastAsia="仿宋_GB2312"/>
          <w:sz w:val="32"/>
          <w:szCs w:val="32"/>
        </w:rPr>
        <w:t>干部增强</w:t>
      </w:r>
      <w:r>
        <w:rPr>
          <w:rFonts w:hint="eastAsia" w:ascii="Times New Roman" w:hAnsi="Times New Roman" w:eastAsia="仿宋_GB2312"/>
          <w:sz w:val="32"/>
          <w:szCs w:val="32"/>
        </w:rPr>
        <w:t>“四个意识”、坚定“四个自信”，做到“两个维护”，巩固深化“不忘初心、牢记使命”主题教育成果，自觉在思想上政治上行动上同</w:t>
      </w:r>
      <w:r>
        <w:rPr>
          <w:rFonts w:hint="eastAsia" w:ascii="Times New Roman" w:hAnsi="Times New Roman" w:eastAsia="仿宋_GB2312"/>
          <w:sz w:val="32"/>
          <w:szCs w:val="32"/>
          <w:lang w:eastAsia="zh-CN"/>
        </w:rPr>
        <w:t>以习近平同志为核心的</w:t>
      </w:r>
      <w:r>
        <w:rPr>
          <w:rFonts w:hint="eastAsia" w:ascii="Times New Roman" w:hAnsi="Times New Roman" w:eastAsia="仿宋_GB2312"/>
          <w:sz w:val="32"/>
          <w:szCs w:val="32"/>
        </w:rPr>
        <w:t>党中央保持高度一致。加强党的组织建设，全面贯彻新时代党的组织路线，</w:t>
      </w:r>
      <w:r>
        <w:rPr>
          <w:rFonts w:ascii="Times New Roman" w:hAnsi="Times New Roman" w:eastAsia="仿宋_GB2312"/>
          <w:sz w:val="32"/>
          <w:szCs w:val="32"/>
        </w:rPr>
        <w:t>发挥基层党组织战斗堡垒作用和党员先锋模范作用，更好带领全市群众建设美好桐城。</w:t>
      </w:r>
      <w:r>
        <w:rPr>
          <w:rFonts w:hint="eastAsia" w:ascii="Times New Roman" w:hAnsi="Times New Roman" w:eastAsia="仿宋_GB2312"/>
          <w:sz w:val="32"/>
          <w:szCs w:val="32"/>
        </w:rPr>
        <w:t>把严的主基调长期坚持下去，完善监督体系，加强政治监督，深化政治巡视巡察，推动党内政治监督谈话规范化、常态化，加强对“一把手”和领导班子监督，强化对公权力运行的制约和监督。坚持无禁区、全覆盖、零容忍，一体推进不敢腐、不能腐、不想腐体制机制建设，推动全面从严治党向基层一线、向群众身边延伸，营造风清气正的良好政治生态。</w:t>
      </w:r>
      <w:r>
        <w:rPr>
          <w:rFonts w:ascii="Times New Roman" w:hAnsi="Times New Roman" w:eastAsia="仿宋_GB2312"/>
          <w:sz w:val="32"/>
          <w:szCs w:val="32"/>
        </w:rPr>
        <w:t>加强党的作风建设</w:t>
      </w:r>
      <w:r>
        <w:rPr>
          <w:rFonts w:hint="eastAsia" w:ascii="Times New Roman" w:hAnsi="Times New Roman" w:eastAsia="仿宋_GB2312"/>
          <w:sz w:val="32"/>
          <w:szCs w:val="32"/>
        </w:rPr>
        <w:t>，健全完善容错纠错机制，深入践行“三严三实”，深化“三个以案”警示教育，持续纠治形式主义、官僚主义，推进廉洁文化和家风建设。坚持和完善人民代表大会制度、中国共产党领导的多党合作和政治协商制度。完善大统战工作格局，扎实做好党外人士、港澳台、海外统战工作，不断丰富完善基层民主实践形式。</w:t>
      </w:r>
      <w:r>
        <w:rPr>
          <w:rFonts w:ascii="Times New Roman" w:hAnsi="Times New Roman" w:eastAsia="仿宋_GB2312"/>
          <w:sz w:val="32"/>
          <w:szCs w:val="32"/>
        </w:rPr>
        <w:t>贯彻党的群众路线，</w:t>
      </w:r>
      <w:r>
        <w:rPr>
          <w:rFonts w:hint="eastAsia" w:ascii="Times New Roman" w:hAnsi="Times New Roman" w:eastAsia="仿宋_GB2312"/>
          <w:sz w:val="32"/>
          <w:szCs w:val="32"/>
        </w:rPr>
        <w:t>发挥工会、共青团、妇联等人民团体作用，</w:t>
      </w:r>
      <w:r>
        <w:rPr>
          <w:rFonts w:ascii="Times New Roman" w:hAnsi="Times New Roman" w:eastAsia="仿宋_GB2312"/>
          <w:sz w:val="32"/>
          <w:szCs w:val="32"/>
        </w:rPr>
        <w:t>密切同人民群众联系，倾听人民呼声、回应人民期待，保障人民当家作主落实到国家</w:t>
      </w:r>
      <w:r>
        <w:rPr>
          <w:rFonts w:hint="eastAsia" w:ascii="Times New Roman" w:hAnsi="Times New Roman" w:eastAsia="仿宋_GB2312"/>
          <w:sz w:val="32"/>
          <w:szCs w:val="32"/>
        </w:rPr>
        <w:t>政治</w:t>
      </w:r>
      <w:r>
        <w:rPr>
          <w:rFonts w:ascii="Times New Roman" w:hAnsi="Times New Roman" w:eastAsia="仿宋_GB2312"/>
          <w:sz w:val="32"/>
          <w:szCs w:val="32"/>
        </w:rPr>
        <w:t>生活和社会生活中，凝聚起全体人民智慧和力量。</w:t>
      </w:r>
    </w:p>
    <w:p w14:paraId="1352DEB1">
      <w:pPr>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增强干部队伍活力</w:t>
      </w:r>
      <w:r>
        <w:rPr>
          <w:rFonts w:hint="eastAsia" w:ascii="Times New Roman" w:hAnsi="Times New Roman" w:eastAsia="仿宋_GB2312"/>
          <w:sz w:val="32"/>
          <w:szCs w:val="32"/>
        </w:rPr>
        <w:t>。全面贯彻新时代党的组织路线，落实好干部标准，优化干部队伍结构，加强领导班子和干部队伍建设。树立讲担当、重担当的鲜明导向，完善政绩考核评价体系和奖惩机制，不断强化对干部的跟踪培养，充分调动各级干部的积极性、主动性、创造性。实施活力工程，干部选配注重人岗相适，抓好年轻干部培养使用，加大干部交流轮岗力度。完善村（社区）干部激励保障机制，持续推进“双十佳”村（社区）干部评选。</w:t>
      </w:r>
    </w:p>
    <w:p w14:paraId="59D7DA65">
      <w:pPr>
        <w:ind w:firstLine="643" w:firstLineChars="200"/>
        <w:rPr>
          <w:rFonts w:ascii="Times New Roman" w:hAnsi="Times New Roman" w:eastAsia="仿宋_GB2312"/>
          <w:bCs/>
          <w:i/>
          <w:sz w:val="32"/>
          <w:szCs w:val="32"/>
        </w:rPr>
      </w:pPr>
      <w:r>
        <w:rPr>
          <w:rFonts w:hint="eastAsia" w:ascii="Times New Roman" w:hAnsi="Times New Roman" w:eastAsia="仿宋_GB2312"/>
          <w:b/>
          <w:sz w:val="32"/>
          <w:szCs w:val="32"/>
        </w:rPr>
        <w:t>凝聚全市人民力量。</w:t>
      </w:r>
      <w:r>
        <w:rPr>
          <w:rFonts w:ascii="Times New Roman" w:hAnsi="Times New Roman" w:eastAsia="仿宋_GB2312"/>
          <w:bCs/>
          <w:sz w:val="32"/>
          <w:szCs w:val="32"/>
        </w:rPr>
        <w:t>加强规划宣传，扩大公众参与，着力推进规划实施的信息公开，健全政府与企业、市民的信息沟通和交流机制。激发企业家、创新人才、中等收入群体、广大干部的积极性，汇聚人民群众的力量和智慧，最大限度凝聚社会共识，形成全体人民群策群力、共建共享规划实施局面。发挥新闻媒体、群众社团的桥梁和监督作用，让更多的社会公众通过法定程序和渠道参与规划的实施和监督，促进规划有效实施。</w:t>
      </w:r>
    </w:p>
    <w:p w14:paraId="7B6A6EE5">
      <w:pPr>
        <w:spacing w:before="100" w:beforeAutospacing="1" w:after="100" w:afterAutospacing="1"/>
        <w:jc w:val="center"/>
        <w:outlineLvl w:val="1"/>
        <w:rPr>
          <w:rFonts w:ascii="Times New Roman" w:hAnsi="Times New Roman" w:eastAsia="黑体"/>
          <w:sz w:val="32"/>
          <w:szCs w:val="32"/>
        </w:rPr>
      </w:pPr>
      <w:bookmarkStart w:id="113" w:name="_Toc8283"/>
      <w:r>
        <w:rPr>
          <w:rFonts w:hint="eastAsia" w:ascii="Times New Roman" w:hAnsi="Times New Roman" w:eastAsia="黑体"/>
          <w:sz w:val="32"/>
          <w:szCs w:val="32"/>
        </w:rPr>
        <w:t>第二节</w:t>
      </w:r>
      <w:r>
        <w:rPr>
          <w:rFonts w:hint="eastAsia" w:ascii="Times New Roman" w:hAnsi="Times New Roman" w:eastAsia="黑体"/>
          <w:sz w:val="32"/>
          <w:szCs w:val="32"/>
          <w:lang w:val="en-US" w:eastAsia="zh-CN"/>
        </w:rPr>
        <w:t xml:space="preserve"> </w:t>
      </w:r>
      <w:r>
        <w:rPr>
          <w:rFonts w:hint="eastAsia" w:ascii="Times New Roman" w:hAnsi="Times New Roman" w:eastAsia="黑体"/>
          <w:sz w:val="32"/>
          <w:szCs w:val="32"/>
        </w:rPr>
        <w:t>激发发展活力</w:t>
      </w:r>
      <w:bookmarkEnd w:id="113"/>
    </w:p>
    <w:p w14:paraId="67321EE4">
      <w:pPr>
        <w:ind w:firstLine="643" w:firstLineChars="200"/>
        <w:rPr>
          <w:rFonts w:ascii="Times New Roman" w:hAnsi="Times New Roman" w:eastAsia="仿宋_GB2312"/>
          <w:sz w:val="32"/>
          <w:szCs w:val="32"/>
        </w:rPr>
      </w:pPr>
      <w:bookmarkStart w:id="114" w:name="_Toc53003479"/>
      <w:bookmarkStart w:id="115" w:name="_Toc52397827"/>
      <w:r>
        <w:rPr>
          <w:rFonts w:ascii="Times New Roman" w:hAnsi="Times New Roman" w:eastAsia="仿宋_GB2312"/>
          <w:b/>
          <w:sz w:val="32"/>
          <w:szCs w:val="32"/>
        </w:rPr>
        <w:t>打造“四最”营商环境</w:t>
      </w:r>
      <w:bookmarkEnd w:id="114"/>
      <w:bookmarkEnd w:id="115"/>
      <w:r>
        <w:rPr>
          <w:rFonts w:ascii="Times New Roman" w:hAnsi="Times New Roman" w:eastAsia="仿宋_GB2312"/>
          <w:b/>
          <w:sz w:val="32"/>
          <w:szCs w:val="32"/>
        </w:rPr>
        <w:t>。</w:t>
      </w:r>
      <w:r>
        <w:rPr>
          <w:rFonts w:ascii="Times New Roman" w:hAnsi="Times New Roman" w:eastAsia="仿宋_GB2312"/>
          <w:sz w:val="32"/>
          <w:szCs w:val="32"/>
        </w:rPr>
        <w:t>认真落实《桐城市创优营商环境提升行动方案》，开展营商环境创优</w:t>
      </w:r>
      <w:r>
        <w:rPr>
          <w:rFonts w:hint="eastAsia" w:ascii="Times New Roman" w:hAnsi="Times New Roman" w:eastAsia="仿宋_GB2312"/>
          <w:sz w:val="32"/>
          <w:szCs w:val="32"/>
          <w:lang w:val="en-US" w:eastAsia="zh-CN"/>
        </w:rPr>
        <w:t>工程</w:t>
      </w:r>
      <w:r>
        <w:rPr>
          <w:rFonts w:ascii="Times New Roman" w:hAnsi="Times New Roman" w:eastAsia="仿宋_GB2312"/>
          <w:sz w:val="32"/>
          <w:szCs w:val="32"/>
        </w:rPr>
        <w:t>，持续优化政府服务。优化权责清单制度，打造“全市一单”的权责清单制度体系，推进“证照分离”改革。加快投资审批制度改革，深化重大项目投资决策并联审批和投资项目</w:t>
      </w:r>
      <w:r>
        <w:rPr>
          <w:rFonts w:hint="eastAsia" w:ascii="Times New Roman" w:hAnsi="Times New Roman" w:eastAsia="仿宋_GB2312"/>
          <w:sz w:val="32"/>
          <w:szCs w:val="32"/>
          <w:lang w:val="en-US" w:eastAsia="zh-CN"/>
        </w:rPr>
        <w:t>告知</w:t>
      </w:r>
      <w:r>
        <w:rPr>
          <w:rFonts w:ascii="Times New Roman" w:hAnsi="Times New Roman" w:eastAsia="仿宋_GB2312"/>
          <w:sz w:val="32"/>
          <w:szCs w:val="32"/>
        </w:rPr>
        <w:t>承诺制改革，推动“双随机、一公开”监管全覆盖、常态化。常态化开展“四送一服”活动，服务实体经济发展。</w:t>
      </w:r>
      <w:r>
        <w:rPr>
          <w:rFonts w:hint="eastAsia" w:ascii="Times New Roman" w:hAnsi="Times New Roman" w:eastAsia="仿宋_GB2312"/>
          <w:sz w:val="32"/>
          <w:szCs w:val="32"/>
        </w:rPr>
        <w:t>深化“一网一门一次”改革，大幅提升</w:t>
      </w:r>
      <w:r>
        <w:rPr>
          <w:rFonts w:hint="eastAsia" w:ascii="Times New Roman" w:hAnsi="Times New Roman" w:eastAsia="仿宋_GB2312"/>
          <w:sz w:val="32"/>
          <w:szCs w:val="32"/>
          <w:lang w:val="en-US" w:eastAsia="zh-CN"/>
        </w:rPr>
        <w:t>政务服务效能</w:t>
      </w:r>
      <w:r>
        <w:rPr>
          <w:rFonts w:hint="eastAsia" w:ascii="Times New Roman" w:hAnsi="Times New Roman" w:eastAsia="仿宋_GB2312"/>
          <w:sz w:val="32"/>
          <w:szCs w:val="32"/>
        </w:rPr>
        <w:t>，优化办事流程</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拓展服务功能</w:t>
      </w:r>
      <w:r>
        <w:rPr>
          <w:rFonts w:hint="eastAsia" w:ascii="Times New Roman" w:hAnsi="Times New Roman" w:eastAsia="仿宋_GB2312"/>
          <w:sz w:val="32"/>
          <w:szCs w:val="32"/>
        </w:rPr>
        <w:t>，促进政务服务“一网通办”和企业群众办事“只进一扇门”。推进经开区“一枚印章管审批”改革，探索推进园区项目“区域评估”“先建后验”，完善重大项目审批代办帮办机制，大力优化营商环境。</w:t>
      </w:r>
    </w:p>
    <w:p w14:paraId="1DCF7BE9">
      <w:pPr>
        <w:ind w:firstLine="643" w:firstLineChars="200"/>
        <w:rPr>
          <w:rFonts w:ascii="Times New Roman" w:hAnsi="Times New Roman" w:eastAsia="仿宋_GB2312"/>
          <w:bCs/>
          <w:color w:val="000000"/>
          <w:sz w:val="32"/>
          <w:szCs w:val="32"/>
        </w:rPr>
      </w:pPr>
      <w:bookmarkStart w:id="116" w:name="_Toc53003480"/>
      <w:bookmarkStart w:id="117" w:name="_Toc52397828"/>
      <w:r>
        <w:rPr>
          <w:rFonts w:hint="eastAsia" w:ascii="Times New Roman" w:hAnsi="Times New Roman" w:eastAsia="仿宋_GB2312"/>
          <w:b/>
          <w:sz w:val="32"/>
          <w:szCs w:val="32"/>
        </w:rPr>
        <w:t>优化要素市场化配置。</w:t>
      </w:r>
      <w:r>
        <w:rPr>
          <w:rFonts w:hint="eastAsia" w:ascii="Times New Roman" w:hAnsi="Times New Roman" w:eastAsia="仿宋_GB2312"/>
          <w:sz w:val="32"/>
          <w:szCs w:val="32"/>
        </w:rPr>
        <w:t>全面完善产权制度，健全以公平为原则的产权保护制度，完善经营性国有资产产权管理制度、自然资源资产产权制度。高质量完成农村集体产权制度改革试点任务，探索赋予农民集体资产股份权能，发挥农村集体经济组织功能作用。完善公平竞争市场环境，全面实施市场准入负面清单制度，整治各类变相审批，进一步放开民营企业市场准入。实施公平统一的市场监管制度，强化公平竞争审查制度刚性约束，健全招投标制度清理长效机制。</w:t>
      </w:r>
      <w:r>
        <w:rPr>
          <w:rFonts w:ascii="Times New Roman" w:hAnsi="Times New Roman" w:eastAsia="仿宋_GB2312"/>
          <w:bCs/>
          <w:color w:val="000000"/>
          <w:sz w:val="32"/>
          <w:szCs w:val="32"/>
        </w:rPr>
        <w:t>健全统一开放要素市场，加快建设城乡统一的建设用地市场，盘活农村闲置宅基地和住宅，推动城镇低效用地再开发。加快培育发展数据要素市场，</w:t>
      </w:r>
      <w:r>
        <w:rPr>
          <w:rFonts w:hint="eastAsia" w:ascii="Times New Roman" w:hAnsi="Times New Roman" w:eastAsia="仿宋_GB2312"/>
          <w:bCs/>
          <w:color w:val="000000"/>
          <w:sz w:val="32"/>
          <w:szCs w:val="32"/>
        </w:rPr>
        <w:t>推动</w:t>
      </w:r>
      <w:r>
        <w:rPr>
          <w:rFonts w:ascii="Times New Roman" w:hAnsi="Times New Roman" w:eastAsia="仿宋_GB2312"/>
          <w:bCs/>
          <w:color w:val="000000"/>
          <w:sz w:val="32"/>
          <w:szCs w:val="32"/>
        </w:rPr>
        <w:t>技术交易信息服务平台建设。畅通人才跨所有制流动渠道</w:t>
      </w:r>
      <w:r>
        <w:rPr>
          <w:rFonts w:hint="eastAsia" w:ascii="Times New Roman" w:hAnsi="Times New Roman" w:eastAsia="仿宋_GB2312"/>
          <w:bCs/>
          <w:color w:val="000000"/>
          <w:sz w:val="32"/>
          <w:szCs w:val="32"/>
          <w:lang w:eastAsia="zh-CN"/>
        </w:rPr>
        <w:t>，</w:t>
      </w:r>
      <w:r>
        <w:rPr>
          <w:rFonts w:hint="eastAsia" w:ascii="Times New Roman" w:hAnsi="Times New Roman" w:eastAsia="仿宋_GB2312"/>
          <w:sz w:val="32"/>
          <w:szCs w:val="32"/>
        </w:rPr>
        <w:t>加强中层干部“中梗阻”整治</w:t>
      </w:r>
      <w:r>
        <w:rPr>
          <w:rFonts w:ascii="Times New Roman" w:hAnsi="Times New Roman" w:eastAsia="仿宋_GB2312"/>
          <w:bCs/>
          <w:color w:val="000000"/>
          <w:sz w:val="32"/>
          <w:szCs w:val="32"/>
        </w:rPr>
        <w:t>。</w:t>
      </w:r>
      <w:r>
        <w:rPr>
          <w:rFonts w:ascii="Times New Roman" w:hAnsi="Times New Roman" w:eastAsia="仿宋_GB2312"/>
          <w:color w:val="000000"/>
          <w:sz w:val="32"/>
          <w:szCs w:val="32"/>
        </w:rPr>
        <w:t>深化财税金融体制改革，完善全口径政府预算管理体制，</w:t>
      </w:r>
      <w:r>
        <w:rPr>
          <w:rFonts w:ascii="Times New Roman" w:hAnsi="Times New Roman" w:eastAsia="仿宋_GB2312"/>
          <w:bCs/>
          <w:color w:val="000000"/>
          <w:sz w:val="32"/>
          <w:szCs w:val="32"/>
        </w:rPr>
        <w:t>创新财政资金使用方式。落实减税降费政策，坚持普惠性减税和结构性减税相结合。推进信贷结构调整优化，</w:t>
      </w:r>
      <w:r>
        <w:rPr>
          <w:rFonts w:hint="eastAsia" w:ascii="Times New Roman" w:hAnsi="Times New Roman" w:eastAsia="仿宋_GB2312"/>
          <w:bCs/>
          <w:color w:val="000000"/>
          <w:sz w:val="32"/>
          <w:szCs w:val="32"/>
        </w:rPr>
        <w:t>推动地方政府融资平台公司市场化转型。</w:t>
      </w:r>
      <w:r>
        <w:rPr>
          <w:rFonts w:ascii="Times New Roman" w:hAnsi="Times New Roman" w:eastAsia="仿宋_GB2312"/>
          <w:bCs/>
          <w:color w:val="000000"/>
          <w:sz w:val="32"/>
          <w:szCs w:val="32"/>
        </w:rPr>
        <w:t>支持金融机构创新优化服务方式，发展科技金融、普惠金融、绿色金融。</w:t>
      </w:r>
    </w:p>
    <w:p w14:paraId="62C77606">
      <w:pPr>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激发各类市场主体活力。</w:t>
      </w:r>
      <w:r>
        <w:rPr>
          <w:rFonts w:hint="eastAsia" w:ascii="Times New Roman" w:hAnsi="Times New Roman" w:eastAsia="仿宋_GB2312"/>
          <w:sz w:val="32"/>
          <w:szCs w:val="32"/>
        </w:rPr>
        <w:t>加快国有经济布局优化和结构调整，深化国有资本投资、运营公司改革。促进民营经济健康发展，</w:t>
      </w:r>
      <w:r>
        <w:rPr>
          <w:rFonts w:ascii="Times New Roman" w:hAnsi="Times New Roman" w:eastAsia="仿宋_GB2312"/>
          <w:sz w:val="32"/>
          <w:szCs w:val="32"/>
        </w:rPr>
        <w:t>鼓励有条件的民营企业实施股份制改造，完善法人治理结构，加快建立现代企业制度。建立人才双向流动机制，允许科技创新人才在高校、科研院所和民营企业双向兼职。引导中小民营企业走专精特新发展之路，培育一批专精特新企业、冠军企业、小巨人企业。全面落实国家各项减税降费优惠政策，健全银行业金融机构服务民营企业体系，降低民营和小微企业综合融资成本，引导民营企业通过增资扩股、债券发行等方式融资。</w:t>
      </w:r>
    </w:p>
    <w:bookmarkEnd w:id="116"/>
    <w:bookmarkEnd w:id="117"/>
    <w:p w14:paraId="24570AC8">
      <w:pPr>
        <w:ind w:firstLine="643" w:firstLineChars="200"/>
        <w:rPr>
          <w:rFonts w:ascii="Times New Roman" w:hAnsi="Times New Roman" w:eastAsia="仿宋_GB2312"/>
          <w:sz w:val="32"/>
          <w:szCs w:val="32"/>
        </w:rPr>
      </w:pPr>
      <w:bookmarkStart w:id="118" w:name="_Toc52397829"/>
      <w:bookmarkStart w:id="119" w:name="_Toc53003481"/>
      <w:r>
        <w:rPr>
          <w:rFonts w:ascii="Times New Roman" w:hAnsi="Times New Roman" w:eastAsia="仿宋_GB2312"/>
          <w:b/>
          <w:sz w:val="32"/>
          <w:szCs w:val="32"/>
        </w:rPr>
        <w:t>加快信用体系建设</w:t>
      </w:r>
      <w:bookmarkEnd w:id="118"/>
      <w:bookmarkEnd w:id="119"/>
      <w:r>
        <w:rPr>
          <w:rFonts w:ascii="Times New Roman" w:hAnsi="Times New Roman" w:eastAsia="仿宋_GB2312"/>
          <w:b/>
          <w:sz w:val="32"/>
          <w:szCs w:val="32"/>
        </w:rPr>
        <w:t>。</w:t>
      </w:r>
      <w:r>
        <w:rPr>
          <w:rFonts w:ascii="Times New Roman" w:hAnsi="Times New Roman" w:eastAsia="仿宋_GB2312"/>
          <w:sz w:val="32"/>
          <w:szCs w:val="32"/>
        </w:rPr>
        <w:t>构建以信用为基础的新型监管机制，持续推进政务诚信、商务诚信、社会诚信和司法公信建设。</w:t>
      </w:r>
      <w:r>
        <w:rPr>
          <w:rFonts w:hint="eastAsia" w:ascii="Times New Roman" w:hAnsi="Times New Roman" w:eastAsia="仿宋_GB2312"/>
          <w:sz w:val="32"/>
          <w:szCs w:val="32"/>
        </w:rPr>
        <w:t>建立政府诚信履约机制、失信责任追溯和承担机制。</w:t>
      </w:r>
      <w:r>
        <w:rPr>
          <w:rFonts w:ascii="Times New Roman" w:hAnsi="Times New Roman" w:eastAsia="仿宋_GB2312"/>
          <w:sz w:val="32"/>
          <w:szCs w:val="32"/>
        </w:rPr>
        <w:t>进一步加强行业信用制度建设，</w:t>
      </w:r>
      <w:r>
        <w:rPr>
          <w:rFonts w:hint="eastAsia" w:ascii="Times New Roman" w:hAnsi="Times New Roman" w:eastAsia="仿宋_GB2312"/>
          <w:sz w:val="32"/>
          <w:szCs w:val="32"/>
        </w:rPr>
        <w:t>建立完善企业诚信红黑名单，对企业实施信用分类管理。加强信息应用，建立“双公示”工作第三方评估机制，实现“双公示”数据的“全覆盖、无遗漏”，构建信用联合奖惩大格局。</w:t>
      </w:r>
      <w:r>
        <w:rPr>
          <w:rFonts w:ascii="Times New Roman" w:hAnsi="Times New Roman" w:eastAsia="仿宋_GB2312"/>
          <w:sz w:val="32"/>
          <w:szCs w:val="32"/>
        </w:rPr>
        <w:t>加速推动信用应用，面向守信主体提供公共信用服务和特色激励产品。深化长三角区域信用合作。加强诚信文化建设，提高全社会诚信意识和信用水平。</w:t>
      </w:r>
    </w:p>
    <w:p w14:paraId="3DA96153">
      <w:pPr>
        <w:spacing w:before="100" w:beforeAutospacing="1" w:after="100" w:afterAutospacing="1"/>
        <w:jc w:val="center"/>
        <w:outlineLvl w:val="1"/>
        <w:rPr>
          <w:rFonts w:ascii="Times New Roman" w:hAnsi="Times New Roman" w:eastAsia="黑体"/>
          <w:sz w:val="32"/>
          <w:szCs w:val="32"/>
        </w:rPr>
      </w:pPr>
      <w:bookmarkStart w:id="120" w:name="_Toc22719"/>
      <w:bookmarkStart w:id="121" w:name="_Toc53003485"/>
      <w:bookmarkStart w:id="122" w:name="_Toc52397855"/>
      <w:r>
        <w:rPr>
          <w:rFonts w:hint="eastAsia" w:ascii="Times New Roman" w:hAnsi="Times New Roman" w:eastAsia="黑体"/>
          <w:sz w:val="32"/>
          <w:szCs w:val="32"/>
        </w:rPr>
        <w:t>第三节</w:t>
      </w:r>
      <w:r>
        <w:rPr>
          <w:rFonts w:hint="eastAsia" w:ascii="Times New Roman" w:hAnsi="Times New Roman" w:eastAsia="黑体"/>
          <w:sz w:val="32"/>
          <w:szCs w:val="32"/>
          <w:lang w:val="en-US" w:eastAsia="zh-CN"/>
        </w:rPr>
        <w:t xml:space="preserve"> </w:t>
      </w:r>
      <w:r>
        <w:rPr>
          <w:rFonts w:hint="eastAsia" w:ascii="Times New Roman" w:hAnsi="Times New Roman" w:eastAsia="黑体"/>
          <w:sz w:val="32"/>
          <w:szCs w:val="32"/>
        </w:rPr>
        <w:t>健全落实机制</w:t>
      </w:r>
      <w:bookmarkEnd w:id="120"/>
    </w:p>
    <w:bookmarkEnd w:id="121"/>
    <w:bookmarkEnd w:id="122"/>
    <w:p w14:paraId="68CE5C91">
      <w:pPr>
        <w:ind w:firstLine="643" w:firstLineChars="200"/>
        <w:rPr>
          <w:rFonts w:ascii="Times New Roman" w:hAnsi="Times New Roman" w:eastAsia="仿宋_GB2312"/>
          <w:sz w:val="32"/>
          <w:szCs w:val="32"/>
        </w:rPr>
      </w:pPr>
      <w:bookmarkStart w:id="123" w:name="_Toc53003486"/>
      <w:bookmarkStart w:id="124" w:name="_Toc52397856"/>
      <w:r>
        <w:rPr>
          <w:rFonts w:ascii="Times New Roman" w:hAnsi="Times New Roman" w:eastAsia="仿宋_GB2312"/>
          <w:b/>
          <w:sz w:val="32"/>
          <w:szCs w:val="32"/>
        </w:rPr>
        <w:t>强化规划衔接</w:t>
      </w:r>
      <w:bookmarkEnd w:id="123"/>
      <w:bookmarkEnd w:id="124"/>
      <w:r>
        <w:rPr>
          <w:rFonts w:ascii="Times New Roman" w:hAnsi="Times New Roman" w:eastAsia="仿宋_GB2312"/>
          <w:b/>
          <w:sz w:val="32"/>
          <w:szCs w:val="32"/>
        </w:rPr>
        <w:t>。</w:t>
      </w:r>
      <w:r>
        <w:rPr>
          <w:rFonts w:ascii="Times New Roman" w:hAnsi="Times New Roman" w:eastAsia="仿宋_GB2312"/>
          <w:sz w:val="32"/>
          <w:szCs w:val="32"/>
        </w:rPr>
        <w:t>以国民经济和社会发展总体规划为统领，以国土空间规划、专项规划</w:t>
      </w:r>
      <w:r>
        <w:rPr>
          <w:rFonts w:hint="eastAsia" w:ascii="Times New Roman" w:hAnsi="Times New Roman" w:eastAsia="仿宋_GB2312"/>
          <w:sz w:val="32"/>
          <w:szCs w:val="32"/>
        </w:rPr>
        <w:t>等为</w:t>
      </w:r>
      <w:r>
        <w:rPr>
          <w:rFonts w:ascii="Times New Roman" w:hAnsi="Times New Roman" w:eastAsia="仿宋_GB2312"/>
          <w:sz w:val="32"/>
          <w:szCs w:val="32"/>
        </w:rPr>
        <w:t>支撑，形成</w:t>
      </w:r>
      <w:r>
        <w:rPr>
          <w:rFonts w:hint="eastAsia" w:ascii="Times New Roman" w:hAnsi="Times New Roman" w:eastAsia="仿宋_GB2312"/>
          <w:sz w:val="32"/>
          <w:szCs w:val="32"/>
        </w:rPr>
        <w:t>定位准确、边界清晰、</w:t>
      </w:r>
      <w:r>
        <w:rPr>
          <w:rFonts w:ascii="Times New Roman" w:hAnsi="Times New Roman" w:eastAsia="仿宋_GB2312"/>
          <w:sz w:val="32"/>
          <w:szCs w:val="32"/>
        </w:rPr>
        <w:t>功能互补、统一衔接的</w:t>
      </w:r>
      <w:r>
        <w:rPr>
          <w:rFonts w:hint="eastAsia" w:ascii="Times New Roman" w:hAnsi="Times New Roman" w:eastAsia="仿宋_GB2312"/>
          <w:sz w:val="32"/>
          <w:szCs w:val="32"/>
        </w:rPr>
        <w:t>县域</w:t>
      </w:r>
      <w:r>
        <w:rPr>
          <w:rFonts w:ascii="Times New Roman" w:hAnsi="Times New Roman" w:eastAsia="仿宋_GB2312"/>
          <w:sz w:val="32"/>
          <w:szCs w:val="32"/>
        </w:rPr>
        <w:t>规划体系。专项规划和区域规划要切实贯彻规划纲要的战略意图，结合自身实际，突出本地特色，做好与本规划确定的发展战略、主要目标和重点任务的协调，加强约束性指标的衔接，确保各类规划在总体要求上指向一致、空间配置上相互协调、时序安排上科学有序。</w:t>
      </w:r>
    </w:p>
    <w:p w14:paraId="2A65F5EA">
      <w:pPr>
        <w:ind w:firstLine="643" w:firstLineChars="200"/>
        <w:rPr>
          <w:rFonts w:ascii="Times New Roman" w:hAnsi="Times New Roman" w:eastAsia="仿宋_GB2312"/>
          <w:sz w:val="32"/>
          <w:szCs w:val="32"/>
        </w:rPr>
      </w:pPr>
      <w:bookmarkStart w:id="125" w:name="_Toc53003487"/>
      <w:bookmarkStart w:id="126" w:name="_Toc52397857"/>
      <w:r>
        <w:rPr>
          <w:rFonts w:ascii="Times New Roman" w:hAnsi="Times New Roman" w:eastAsia="仿宋_GB2312"/>
          <w:b/>
          <w:sz w:val="32"/>
          <w:szCs w:val="32"/>
        </w:rPr>
        <w:t>加强项目支撑</w:t>
      </w:r>
      <w:bookmarkEnd w:id="125"/>
      <w:bookmarkEnd w:id="126"/>
      <w:r>
        <w:rPr>
          <w:rFonts w:ascii="Times New Roman" w:hAnsi="Times New Roman" w:eastAsia="仿宋_GB2312"/>
          <w:b/>
          <w:sz w:val="32"/>
          <w:szCs w:val="32"/>
        </w:rPr>
        <w:t>。</w:t>
      </w:r>
      <w:r>
        <w:rPr>
          <w:rFonts w:ascii="Times New Roman" w:hAnsi="Times New Roman" w:eastAsia="仿宋_GB2312"/>
          <w:sz w:val="32"/>
          <w:szCs w:val="32"/>
        </w:rPr>
        <w:t>抢抓“一带一路”、长三角一体化、合肥都市圈发展等重要战略机遇，深入研究国家、省、市相关政策要求，以事关全局和长远发展的重大战略项目为抓手，在产业升级、创新驱动、城市建设、城乡统筹、开放合作、生态建设、社会建设等领域，谋划实施一批管长远、增后劲、补短板、惠民生的重大项目。围绕新建、续建、竣工、储备等关键环节，建立健全“四督四保”“五项机制”和市级领导联系重点项目制度，着力推进重点项目早开工、早竣工、早投产，充分发挥经济效益。按照“土地要素跟着项目走、能耗指标围着项目走、严守生态保护红线优化路径走”的要求，搭建重大项目用地服务“绿色通道”，积极争取新增建设用地指标，落实重大项目土地要素保障，优先配置资源。</w:t>
      </w:r>
      <w:r>
        <w:rPr>
          <w:rFonts w:hint="eastAsia" w:ascii="Times New Roman" w:hAnsi="Times New Roman" w:eastAsia="仿宋_GB2312"/>
          <w:sz w:val="32"/>
          <w:szCs w:val="32"/>
        </w:rPr>
        <w:t>加</w:t>
      </w:r>
      <w:r>
        <w:rPr>
          <w:rFonts w:ascii="Times New Roman" w:hAnsi="Times New Roman" w:eastAsia="仿宋_GB2312"/>
          <w:sz w:val="32"/>
          <w:szCs w:val="32"/>
        </w:rPr>
        <w:t>大信贷投放力度。</w:t>
      </w:r>
    </w:p>
    <w:p w14:paraId="44BD9FB6">
      <w:pPr>
        <w:ind w:firstLine="643" w:firstLineChars="200"/>
        <w:rPr>
          <w:rFonts w:ascii="Times New Roman" w:hAnsi="Times New Roman" w:eastAsia="仿宋_GB2312"/>
          <w:sz w:val="32"/>
          <w:szCs w:val="32"/>
        </w:rPr>
      </w:pPr>
      <w:bookmarkStart w:id="127" w:name="_Toc53003488"/>
      <w:bookmarkStart w:id="128" w:name="_Toc52397858"/>
      <w:r>
        <w:rPr>
          <w:rFonts w:ascii="Times New Roman" w:hAnsi="Times New Roman" w:eastAsia="仿宋_GB2312"/>
          <w:b/>
          <w:sz w:val="32"/>
          <w:szCs w:val="32"/>
        </w:rPr>
        <w:t>健全规划实施监督与评估</w:t>
      </w:r>
      <w:bookmarkEnd w:id="127"/>
      <w:bookmarkEnd w:id="128"/>
      <w:r>
        <w:rPr>
          <w:rFonts w:ascii="Times New Roman" w:hAnsi="Times New Roman" w:eastAsia="仿宋_GB2312"/>
          <w:b/>
          <w:sz w:val="32"/>
          <w:szCs w:val="32"/>
        </w:rPr>
        <w:t>。</w:t>
      </w:r>
      <w:r>
        <w:rPr>
          <w:rFonts w:ascii="Times New Roman" w:hAnsi="Times New Roman" w:eastAsia="仿宋_GB2312"/>
          <w:sz w:val="32"/>
          <w:szCs w:val="32"/>
        </w:rPr>
        <w:t>加强监测评估能力建设，强化对规划实施情况的跟踪分析。有关部门要加强对规划相关领域实施情况评估，接受</w:t>
      </w:r>
      <w:r>
        <w:rPr>
          <w:rFonts w:hint="eastAsia" w:ascii="Times New Roman" w:hAnsi="Times New Roman" w:eastAsia="仿宋_GB2312"/>
          <w:sz w:val="32"/>
          <w:szCs w:val="32"/>
        </w:rPr>
        <w:t>市</w:t>
      </w:r>
      <w:r>
        <w:rPr>
          <w:rFonts w:ascii="Times New Roman" w:hAnsi="Times New Roman" w:eastAsia="仿宋_GB2312"/>
          <w:sz w:val="32"/>
          <w:szCs w:val="32"/>
        </w:rPr>
        <w:t>人民代表大会及其常务委员会的监督检查。规划主管部门要对约束性指标和主要预期性指标完成情况进行评估，并以适当方式向社会公布。适时开展规划实施情况中期评估，引入社会机构参与评估，增强规划评估的准确性和广泛性，中期评估报告提交市人民代表大会常务委员会审议。完善规划指标统计制度，为监测评估和政策制定提供支撑。</w:t>
      </w: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Arial Unicode MS"/>
    <w:panose1 w:val="02000000000000000000"/>
    <w:charset w:val="86"/>
    <w:family w:val="script"/>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黑体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Microsoft YaHei UI">
    <w:panose1 w:val="020B0503020204020204"/>
    <w:charset w:val="86"/>
    <w:family w:val="swiss"/>
    <w:pitch w:val="default"/>
    <w:sig w:usb0="80000287" w:usb1="2ACF3C50" w:usb2="00000016" w:usb3="00000000" w:csb0="0004001F" w:csb1="00000000"/>
  </w:font>
  <w:font w:name="宋体_x0004_fal">
    <w:altName w:val="宋体"/>
    <w:panose1 w:val="02010600030101010101"/>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69170">
    <w:pPr>
      <w:pStyle w:val="13"/>
      <w:jc w:val="center"/>
    </w:pPr>
    <w:r>
      <w:rPr>
        <w:sz w:val="1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sdt>
                <w:sdtPr>
                  <w:id w:val="-2043736126"/>
                </w:sdtPr>
                <w:sdtContent>
                  <w:p w14:paraId="414DA4DF">
                    <w:pPr>
                      <w:pStyle w:val="13"/>
                      <w:jc w:val="center"/>
                    </w:pPr>
                    <w:r>
                      <w:fldChar w:fldCharType="begin"/>
                    </w:r>
                    <w:r>
                      <w:instrText xml:space="preserve">PAGE   \* MERGEFORMAT</w:instrText>
                    </w:r>
                    <w:r>
                      <w:fldChar w:fldCharType="separate"/>
                    </w:r>
                    <w:r>
                      <w:rPr>
                        <w:lang w:val="zh-CN"/>
                      </w:rPr>
                      <w:t>3</w:t>
                    </w:r>
                    <w:r>
                      <w:rPr>
                        <w:lang w:val="zh-CN"/>
                      </w:rPr>
                      <w:fldChar w:fldCharType="end"/>
                    </w:r>
                  </w:p>
                </w:sdtContent>
              </w:sdt>
              <w:p w14:paraId="17A838DD">
                <w:pPr>
                  <w:pStyle w:val="2"/>
                </w:pPr>
              </w:p>
            </w:txbxContent>
          </v:textbox>
        </v:shape>
      </w:pict>
    </w:r>
  </w:p>
  <w:p w14:paraId="43165458">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443F0">
    <w:pPr>
      <w:pStyle w:val="13"/>
      <w:jc w:val="center"/>
    </w:pPr>
    <w:r>
      <w:rPr>
        <w:sz w:val="18"/>
      </w:rPr>
      <w:pict>
        <v:shape id="_x0000_s4098" o:spid="_x0000_s4098"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sdt>
                <w:sdtPr>
                  <w:id w:val="-341779216"/>
                </w:sdtPr>
                <w:sdtContent>
                  <w:p w14:paraId="27CD0258">
                    <w:pPr>
                      <w:pStyle w:val="13"/>
                      <w:jc w:val="center"/>
                    </w:pPr>
                    <w:r>
                      <w:fldChar w:fldCharType="begin"/>
                    </w:r>
                    <w:r>
                      <w:instrText xml:space="preserve">PAGE   \* MERGEFORMAT</w:instrText>
                    </w:r>
                    <w:r>
                      <w:fldChar w:fldCharType="separate"/>
                    </w:r>
                    <w:r>
                      <w:rPr>
                        <w:lang w:val="zh-CN"/>
                      </w:rPr>
                      <w:t>22</w:t>
                    </w:r>
                    <w:r>
                      <w:rPr>
                        <w:lang w:val="zh-CN"/>
                      </w:rPr>
                      <w:fldChar w:fldCharType="end"/>
                    </w:r>
                  </w:p>
                </w:sdtContent>
              </w:sdt>
              <w:p w14:paraId="7CF9D9C5">
                <w:pPr>
                  <w:pStyle w:val="2"/>
                </w:pPr>
              </w:p>
            </w:txbxContent>
          </v:textbox>
        </v:shape>
      </w:pict>
    </w:r>
  </w:p>
  <w:p w14:paraId="7DA4FAE0">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57AAA">
    <w:pPr>
      <w:pStyle w:val="13"/>
      <w:jc w:val="center"/>
    </w:pPr>
    <w:r>
      <w:rPr>
        <w:sz w:val="18"/>
      </w:rPr>
      <w:pict>
        <v:shape id="_x0000_s4099" o:spid="_x0000_s4099" o:spt="202" type="#_x0000_t202" style="position:absolute;left:0pt;margin-top:0pt;height:144pt;width:144pt;mso-position-horizontal:outside;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sdt>
                <w:sdtPr>
                  <w:id w:val="1566859"/>
                </w:sdtPr>
                <w:sdtContent>
                  <w:p w14:paraId="7A23ACBE">
                    <w:pPr>
                      <w:pStyle w:val="13"/>
                      <w:jc w:val="center"/>
                    </w:pPr>
                    <w:r>
                      <w:fldChar w:fldCharType="begin"/>
                    </w:r>
                    <w:r>
                      <w:instrText xml:space="preserve">PAGE   \* MERGEFORMAT</w:instrText>
                    </w:r>
                    <w:r>
                      <w:fldChar w:fldCharType="separate"/>
                    </w:r>
                    <w:r>
                      <w:rPr>
                        <w:lang w:val="zh-CN"/>
                      </w:rPr>
                      <w:t>49</w:t>
                    </w:r>
                    <w:r>
                      <w:rPr>
                        <w:lang w:val="zh-CN"/>
                      </w:rPr>
                      <w:fldChar w:fldCharType="end"/>
                    </w:r>
                  </w:p>
                </w:sdtContent>
              </w:sdt>
              <w:p w14:paraId="12686FAF">
                <w:pPr>
                  <w:pStyle w:val="2"/>
                </w:pPr>
              </w:p>
            </w:txbxContent>
          </v:textbox>
        </v:shape>
      </w:pict>
    </w:r>
  </w:p>
  <w:p w14:paraId="19EBD24C">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1D09F">
    <w:pPr>
      <w:pStyle w:val="13"/>
      <w:jc w:val="center"/>
    </w:pPr>
    <w:r>
      <w:rPr>
        <w:sz w:val="18"/>
      </w:rPr>
      <w:pict>
        <v:shape id="_x0000_s4100" o:spid="_x0000_s4100" o:spt="202" type="#_x0000_t202" style="position:absolute;left:0pt;margin-top:0pt;height:144pt;width:144pt;mso-position-horizontal:outside;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sdt>
                <w:sdtPr>
                  <w:id w:val="-578748176"/>
                </w:sdtPr>
                <w:sdtContent>
                  <w:p w14:paraId="0A9AEE31">
                    <w:pPr>
                      <w:pStyle w:val="13"/>
                      <w:jc w:val="center"/>
                    </w:pPr>
                    <w:r>
                      <w:fldChar w:fldCharType="begin"/>
                    </w:r>
                    <w:r>
                      <w:instrText xml:space="preserve">PAGE   \* MERGEFORMAT</w:instrText>
                    </w:r>
                    <w:r>
                      <w:fldChar w:fldCharType="separate"/>
                    </w:r>
                    <w:r>
                      <w:rPr>
                        <w:lang w:val="zh-CN"/>
                      </w:rPr>
                      <w:t>99</w:t>
                    </w:r>
                    <w:r>
                      <w:rPr>
                        <w:lang w:val="zh-CN"/>
                      </w:rPr>
                      <w:fldChar w:fldCharType="end"/>
                    </w:r>
                  </w:p>
                </w:sdtContent>
              </w:sdt>
              <w:p w14:paraId="3DCCA9E1">
                <w:pPr>
                  <w:pStyle w:val="2"/>
                </w:pPr>
              </w:p>
            </w:txbxContent>
          </v:textbox>
        </v:shape>
      </w:pict>
    </w:r>
  </w:p>
  <w:p w14:paraId="06DCF129">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00ECE0"/>
    <w:multiLevelType w:val="singleLevel"/>
    <w:tmpl w:val="C800ECE0"/>
    <w:lvl w:ilvl="0" w:tentative="0">
      <w:start w:val="1"/>
      <w:numFmt w:val="chineseCounting"/>
      <w:pStyle w:val="3"/>
      <w:suff w:val="space"/>
      <w:lvlText w:val="第%1章"/>
      <w:lvlJc w:val="left"/>
      <w:rPr>
        <w:rFonts w:hint="eastAsia" w:ascii="方正小标宋简体" w:eastAsia="方正小标宋简体"/>
      </w:rPr>
    </w:lvl>
  </w:abstractNum>
  <w:abstractNum w:abstractNumId="1">
    <w:nsid w:val="5BF21188"/>
    <w:multiLevelType w:val="multilevel"/>
    <w:tmpl w:val="5BF21188"/>
    <w:lvl w:ilvl="0" w:tentative="0">
      <w:start w:val="1"/>
      <w:numFmt w:val="japaneseCounting"/>
      <w:lvlText w:val="第%1节"/>
      <w:lvlJc w:val="left"/>
      <w:pPr>
        <w:ind w:left="1125" w:hanging="112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DE5M2I2YTNkYjhlZjY0YTE4MzZjMjhhZDlkNDY0YWMifQ=="/>
  </w:docVars>
  <w:rsids>
    <w:rsidRoot w:val="003F3EC6"/>
    <w:rsid w:val="0000120B"/>
    <w:rsid w:val="000031E4"/>
    <w:rsid w:val="00006164"/>
    <w:rsid w:val="00006D68"/>
    <w:rsid w:val="000070DA"/>
    <w:rsid w:val="00007158"/>
    <w:rsid w:val="00010144"/>
    <w:rsid w:val="0001276E"/>
    <w:rsid w:val="00014757"/>
    <w:rsid w:val="00025834"/>
    <w:rsid w:val="000267A9"/>
    <w:rsid w:val="00026F0A"/>
    <w:rsid w:val="000313DF"/>
    <w:rsid w:val="00032075"/>
    <w:rsid w:val="00034FC3"/>
    <w:rsid w:val="00041CC6"/>
    <w:rsid w:val="000434B7"/>
    <w:rsid w:val="00043F3C"/>
    <w:rsid w:val="00044D97"/>
    <w:rsid w:val="000455C5"/>
    <w:rsid w:val="000459CF"/>
    <w:rsid w:val="000461A9"/>
    <w:rsid w:val="00046731"/>
    <w:rsid w:val="000474B0"/>
    <w:rsid w:val="00051DD5"/>
    <w:rsid w:val="00051F60"/>
    <w:rsid w:val="00054BCA"/>
    <w:rsid w:val="00062D04"/>
    <w:rsid w:val="000669F6"/>
    <w:rsid w:val="00067056"/>
    <w:rsid w:val="00067F2F"/>
    <w:rsid w:val="00070429"/>
    <w:rsid w:val="0007151E"/>
    <w:rsid w:val="000775B0"/>
    <w:rsid w:val="0008228E"/>
    <w:rsid w:val="00083724"/>
    <w:rsid w:val="000851B0"/>
    <w:rsid w:val="0009160B"/>
    <w:rsid w:val="00092EE8"/>
    <w:rsid w:val="00097C33"/>
    <w:rsid w:val="000A3BE4"/>
    <w:rsid w:val="000A4CCC"/>
    <w:rsid w:val="000A5CAA"/>
    <w:rsid w:val="000A603D"/>
    <w:rsid w:val="000A7188"/>
    <w:rsid w:val="000B2AAC"/>
    <w:rsid w:val="000B308A"/>
    <w:rsid w:val="000E0D8F"/>
    <w:rsid w:val="000E23C7"/>
    <w:rsid w:val="000E2999"/>
    <w:rsid w:val="000F09F4"/>
    <w:rsid w:val="000F14FC"/>
    <w:rsid w:val="000F1E7F"/>
    <w:rsid w:val="000F27DE"/>
    <w:rsid w:val="000F3557"/>
    <w:rsid w:val="000F3BDD"/>
    <w:rsid w:val="000F4708"/>
    <w:rsid w:val="000F4F8D"/>
    <w:rsid w:val="000F5DA7"/>
    <w:rsid w:val="000F6719"/>
    <w:rsid w:val="000F69CF"/>
    <w:rsid w:val="00104C37"/>
    <w:rsid w:val="001061FE"/>
    <w:rsid w:val="00107709"/>
    <w:rsid w:val="0011073E"/>
    <w:rsid w:val="00113972"/>
    <w:rsid w:val="00117185"/>
    <w:rsid w:val="0012629E"/>
    <w:rsid w:val="00126698"/>
    <w:rsid w:val="001304F4"/>
    <w:rsid w:val="00131108"/>
    <w:rsid w:val="001345FC"/>
    <w:rsid w:val="001349D1"/>
    <w:rsid w:val="00134F23"/>
    <w:rsid w:val="00135982"/>
    <w:rsid w:val="00135EC3"/>
    <w:rsid w:val="001409C0"/>
    <w:rsid w:val="0014177C"/>
    <w:rsid w:val="0014240E"/>
    <w:rsid w:val="0014289A"/>
    <w:rsid w:val="00142AFB"/>
    <w:rsid w:val="00143D5B"/>
    <w:rsid w:val="0014488C"/>
    <w:rsid w:val="0014629F"/>
    <w:rsid w:val="00152D93"/>
    <w:rsid w:val="00152EF0"/>
    <w:rsid w:val="0015317B"/>
    <w:rsid w:val="00153A57"/>
    <w:rsid w:val="00154DC3"/>
    <w:rsid w:val="00160180"/>
    <w:rsid w:val="00160193"/>
    <w:rsid w:val="001608B5"/>
    <w:rsid w:val="00166302"/>
    <w:rsid w:val="00166850"/>
    <w:rsid w:val="00166CE2"/>
    <w:rsid w:val="001677BA"/>
    <w:rsid w:val="00167847"/>
    <w:rsid w:val="0017466E"/>
    <w:rsid w:val="0017700D"/>
    <w:rsid w:val="00177640"/>
    <w:rsid w:val="001816E9"/>
    <w:rsid w:val="001816FF"/>
    <w:rsid w:val="00183F05"/>
    <w:rsid w:val="00184BDB"/>
    <w:rsid w:val="00185A30"/>
    <w:rsid w:val="0019318B"/>
    <w:rsid w:val="001970A7"/>
    <w:rsid w:val="001A2260"/>
    <w:rsid w:val="001A3027"/>
    <w:rsid w:val="001A7B58"/>
    <w:rsid w:val="001B6609"/>
    <w:rsid w:val="001B74EB"/>
    <w:rsid w:val="001C09CC"/>
    <w:rsid w:val="001C707F"/>
    <w:rsid w:val="001D0081"/>
    <w:rsid w:val="001D4522"/>
    <w:rsid w:val="001D601F"/>
    <w:rsid w:val="001D7662"/>
    <w:rsid w:val="001E0B17"/>
    <w:rsid w:val="001E0B2C"/>
    <w:rsid w:val="001E1DD5"/>
    <w:rsid w:val="001E33A2"/>
    <w:rsid w:val="001E4865"/>
    <w:rsid w:val="001E4B73"/>
    <w:rsid w:val="001E797E"/>
    <w:rsid w:val="001F48B9"/>
    <w:rsid w:val="001F76F9"/>
    <w:rsid w:val="00204AA4"/>
    <w:rsid w:val="00205252"/>
    <w:rsid w:val="00210192"/>
    <w:rsid w:val="00211767"/>
    <w:rsid w:val="00211DDD"/>
    <w:rsid w:val="002128BA"/>
    <w:rsid w:val="002153E9"/>
    <w:rsid w:val="00217FAE"/>
    <w:rsid w:val="00223F0C"/>
    <w:rsid w:val="00224335"/>
    <w:rsid w:val="002275CD"/>
    <w:rsid w:val="00231CB1"/>
    <w:rsid w:val="00235A4F"/>
    <w:rsid w:val="00237FA2"/>
    <w:rsid w:val="0024075B"/>
    <w:rsid w:val="002412E9"/>
    <w:rsid w:val="002413B1"/>
    <w:rsid w:val="00241E87"/>
    <w:rsid w:val="002431FA"/>
    <w:rsid w:val="00243D4E"/>
    <w:rsid w:val="002507BD"/>
    <w:rsid w:val="00252BF2"/>
    <w:rsid w:val="0025367B"/>
    <w:rsid w:val="002604F8"/>
    <w:rsid w:val="00261ECB"/>
    <w:rsid w:val="00262C96"/>
    <w:rsid w:val="0027061A"/>
    <w:rsid w:val="002737E6"/>
    <w:rsid w:val="002750FF"/>
    <w:rsid w:val="00275D9C"/>
    <w:rsid w:val="002769CB"/>
    <w:rsid w:val="0028002E"/>
    <w:rsid w:val="00281139"/>
    <w:rsid w:val="00284119"/>
    <w:rsid w:val="002847FD"/>
    <w:rsid w:val="00286619"/>
    <w:rsid w:val="00294570"/>
    <w:rsid w:val="00294C13"/>
    <w:rsid w:val="002A089B"/>
    <w:rsid w:val="002A3FB9"/>
    <w:rsid w:val="002A45E8"/>
    <w:rsid w:val="002B30B1"/>
    <w:rsid w:val="002B5B72"/>
    <w:rsid w:val="002B6892"/>
    <w:rsid w:val="002C1327"/>
    <w:rsid w:val="002C23A2"/>
    <w:rsid w:val="002D1990"/>
    <w:rsid w:val="002D1D58"/>
    <w:rsid w:val="002D292E"/>
    <w:rsid w:val="002D35C4"/>
    <w:rsid w:val="002E2310"/>
    <w:rsid w:val="002E25CF"/>
    <w:rsid w:val="002E3A97"/>
    <w:rsid w:val="002E4341"/>
    <w:rsid w:val="002F146B"/>
    <w:rsid w:val="002F35CE"/>
    <w:rsid w:val="002F4665"/>
    <w:rsid w:val="002F652D"/>
    <w:rsid w:val="00302700"/>
    <w:rsid w:val="0030277A"/>
    <w:rsid w:val="00305304"/>
    <w:rsid w:val="00306ABF"/>
    <w:rsid w:val="00310F37"/>
    <w:rsid w:val="0031689C"/>
    <w:rsid w:val="00320F48"/>
    <w:rsid w:val="003231FC"/>
    <w:rsid w:val="00325B60"/>
    <w:rsid w:val="0032781C"/>
    <w:rsid w:val="003319CA"/>
    <w:rsid w:val="00334DDB"/>
    <w:rsid w:val="00335089"/>
    <w:rsid w:val="00341310"/>
    <w:rsid w:val="00341766"/>
    <w:rsid w:val="00342B80"/>
    <w:rsid w:val="00344780"/>
    <w:rsid w:val="00345377"/>
    <w:rsid w:val="00346D80"/>
    <w:rsid w:val="00350062"/>
    <w:rsid w:val="003622CD"/>
    <w:rsid w:val="00371338"/>
    <w:rsid w:val="0037512B"/>
    <w:rsid w:val="00376E3F"/>
    <w:rsid w:val="00380FFC"/>
    <w:rsid w:val="003820D2"/>
    <w:rsid w:val="00393AEA"/>
    <w:rsid w:val="00397AC4"/>
    <w:rsid w:val="003A11FD"/>
    <w:rsid w:val="003A6AA4"/>
    <w:rsid w:val="003B11F9"/>
    <w:rsid w:val="003B245D"/>
    <w:rsid w:val="003B368F"/>
    <w:rsid w:val="003B375C"/>
    <w:rsid w:val="003C3B32"/>
    <w:rsid w:val="003C3EB1"/>
    <w:rsid w:val="003C6FD9"/>
    <w:rsid w:val="003D1D8E"/>
    <w:rsid w:val="003D3C44"/>
    <w:rsid w:val="003D4E2C"/>
    <w:rsid w:val="003E1188"/>
    <w:rsid w:val="003E2708"/>
    <w:rsid w:val="003E71BC"/>
    <w:rsid w:val="003F1C04"/>
    <w:rsid w:val="003F1C77"/>
    <w:rsid w:val="003F2A04"/>
    <w:rsid w:val="003F3EC6"/>
    <w:rsid w:val="003F7B50"/>
    <w:rsid w:val="0040482C"/>
    <w:rsid w:val="00404AAE"/>
    <w:rsid w:val="00405321"/>
    <w:rsid w:val="00406420"/>
    <w:rsid w:val="004120B9"/>
    <w:rsid w:val="00414E5A"/>
    <w:rsid w:val="004172DA"/>
    <w:rsid w:val="00421397"/>
    <w:rsid w:val="004307BC"/>
    <w:rsid w:val="004334C4"/>
    <w:rsid w:val="004362AC"/>
    <w:rsid w:val="0043690B"/>
    <w:rsid w:val="00436ACC"/>
    <w:rsid w:val="004512AC"/>
    <w:rsid w:val="00452AF0"/>
    <w:rsid w:val="004535B0"/>
    <w:rsid w:val="00457CD1"/>
    <w:rsid w:val="00460B89"/>
    <w:rsid w:val="0046114C"/>
    <w:rsid w:val="00461532"/>
    <w:rsid w:val="0046581E"/>
    <w:rsid w:val="004661B7"/>
    <w:rsid w:val="004661C6"/>
    <w:rsid w:val="00474DA4"/>
    <w:rsid w:val="00480792"/>
    <w:rsid w:val="00481E50"/>
    <w:rsid w:val="004824A0"/>
    <w:rsid w:val="00487F2F"/>
    <w:rsid w:val="00493B27"/>
    <w:rsid w:val="00494971"/>
    <w:rsid w:val="00495D04"/>
    <w:rsid w:val="004A0552"/>
    <w:rsid w:val="004A2E54"/>
    <w:rsid w:val="004A37E0"/>
    <w:rsid w:val="004B0C42"/>
    <w:rsid w:val="004B10DF"/>
    <w:rsid w:val="004B25D1"/>
    <w:rsid w:val="004B484D"/>
    <w:rsid w:val="004C0BDB"/>
    <w:rsid w:val="004C27A5"/>
    <w:rsid w:val="004C6D51"/>
    <w:rsid w:val="004D2AB4"/>
    <w:rsid w:val="004D5132"/>
    <w:rsid w:val="004D6B95"/>
    <w:rsid w:val="004E73AC"/>
    <w:rsid w:val="004F2C16"/>
    <w:rsid w:val="005009CB"/>
    <w:rsid w:val="00500AE6"/>
    <w:rsid w:val="00503C4D"/>
    <w:rsid w:val="005048B7"/>
    <w:rsid w:val="005107B5"/>
    <w:rsid w:val="005152D0"/>
    <w:rsid w:val="0051546C"/>
    <w:rsid w:val="00516F23"/>
    <w:rsid w:val="0052193A"/>
    <w:rsid w:val="00524DAD"/>
    <w:rsid w:val="0052766C"/>
    <w:rsid w:val="00536554"/>
    <w:rsid w:val="005401D3"/>
    <w:rsid w:val="00547352"/>
    <w:rsid w:val="00547B09"/>
    <w:rsid w:val="005506AB"/>
    <w:rsid w:val="0055368A"/>
    <w:rsid w:val="00554241"/>
    <w:rsid w:val="005578EB"/>
    <w:rsid w:val="005646EB"/>
    <w:rsid w:val="005648A5"/>
    <w:rsid w:val="00572875"/>
    <w:rsid w:val="00574BAF"/>
    <w:rsid w:val="0058034F"/>
    <w:rsid w:val="00584065"/>
    <w:rsid w:val="00586D4F"/>
    <w:rsid w:val="00590C77"/>
    <w:rsid w:val="005935BB"/>
    <w:rsid w:val="0059537D"/>
    <w:rsid w:val="00597544"/>
    <w:rsid w:val="005A1D38"/>
    <w:rsid w:val="005A2693"/>
    <w:rsid w:val="005A4860"/>
    <w:rsid w:val="005A4C94"/>
    <w:rsid w:val="005B027C"/>
    <w:rsid w:val="005B57DB"/>
    <w:rsid w:val="005B62BF"/>
    <w:rsid w:val="005C0633"/>
    <w:rsid w:val="005C2638"/>
    <w:rsid w:val="005C2D6D"/>
    <w:rsid w:val="005C737D"/>
    <w:rsid w:val="005D3E41"/>
    <w:rsid w:val="005D560C"/>
    <w:rsid w:val="005D58A6"/>
    <w:rsid w:val="005E0D2A"/>
    <w:rsid w:val="005E16EA"/>
    <w:rsid w:val="005E3A6A"/>
    <w:rsid w:val="005F3E24"/>
    <w:rsid w:val="005F4965"/>
    <w:rsid w:val="005F61F1"/>
    <w:rsid w:val="005F6D88"/>
    <w:rsid w:val="00601576"/>
    <w:rsid w:val="00606355"/>
    <w:rsid w:val="00607F1D"/>
    <w:rsid w:val="0061148F"/>
    <w:rsid w:val="00613E91"/>
    <w:rsid w:val="00615685"/>
    <w:rsid w:val="0062095D"/>
    <w:rsid w:val="0062321B"/>
    <w:rsid w:val="00624439"/>
    <w:rsid w:val="0062619F"/>
    <w:rsid w:val="006279C3"/>
    <w:rsid w:val="00635A8F"/>
    <w:rsid w:val="00642B8E"/>
    <w:rsid w:val="00645A05"/>
    <w:rsid w:val="00646D30"/>
    <w:rsid w:val="006503A2"/>
    <w:rsid w:val="00651E71"/>
    <w:rsid w:val="00652FDD"/>
    <w:rsid w:val="00653740"/>
    <w:rsid w:val="006540CB"/>
    <w:rsid w:val="00654FD5"/>
    <w:rsid w:val="006553FC"/>
    <w:rsid w:val="00662C80"/>
    <w:rsid w:val="00664E77"/>
    <w:rsid w:val="00665DFF"/>
    <w:rsid w:val="00672385"/>
    <w:rsid w:val="00673612"/>
    <w:rsid w:val="006748B5"/>
    <w:rsid w:val="00675470"/>
    <w:rsid w:val="006766BE"/>
    <w:rsid w:val="00677D25"/>
    <w:rsid w:val="00677D39"/>
    <w:rsid w:val="00683380"/>
    <w:rsid w:val="00686861"/>
    <w:rsid w:val="006909F3"/>
    <w:rsid w:val="006926A7"/>
    <w:rsid w:val="00696292"/>
    <w:rsid w:val="006A0D95"/>
    <w:rsid w:val="006A18CE"/>
    <w:rsid w:val="006A3394"/>
    <w:rsid w:val="006B2746"/>
    <w:rsid w:val="006B2ABF"/>
    <w:rsid w:val="006C14D4"/>
    <w:rsid w:val="006C189C"/>
    <w:rsid w:val="006C66E7"/>
    <w:rsid w:val="006D344D"/>
    <w:rsid w:val="006D658E"/>
    <w:rsid w:val="006D7ED2"/>
    <w:rsid w:val="006E2799"/>
    <w:rsid w:val="006E37C5"/>
    <w:rsid w:val="006F1DCD"/>
    <w:rsid w:val="006F2B91"/>
    <w:rsid w:val="006F54C1"/>
    <w:rsid w:val="007019E5"/>
    <w:rsid w:val="00704495"/>
    <w:rsid w:val="00707AD7"/>
    <w:rsid w:val="00711872"/>
    <w:rsid w:val="007125A5"/>
    <w:rsid w:val="007125EC"/>
    <w:rsid w:val="00717D36"/>
    <w:rsid w:val="0072183D"/>
    <w:rsid w:val="007331A8"/>
    <w:rsid w:val="0074100A"/>
    <w:rsid w:val="00760406"/>
    <w:rsid w:val="0076053F"/>
    <w:rsid w:val="007625E6"/>
    <w:rsid w:val="00767013"/>
    <w:rsid w:val="007673E3"/>
    <w:rsid w:val="00767B61"/>
    <w:rsid w:val="00767DE0"/>
    <w:rsid w:val="00771F22"/>
    <w:rsid w:val="007720F7"/>
    <w:rsid w:val="00772233"/>
    <w:rsid w:val="0077398C"/>
    <w:rsid w:val="00774F31"/>
    <w:rsid w:val="007800AA"/>
    <w:rsid w:val="00780298"/>
    <w:rsid w:val="00780E1D"/>
    <w:rsid w:val="00781360"/>
    <w:rsid w:val="0078137E"/>
    <w:rsid w:val="00785315"/>
    <w:rsid w:val="007860F8"/>
    <w:rsid w:val="00790E64"/>
    <w:rsid w:val="00791FEF"/>
    <w:rsid w:val="007927DB"/>
    <w:rsid w:val="0079339A"/>
    <w:rsid w:val="007A07B5"/>
    <w:rsid w:val="007A1DFE"/>
    <w:rsid w:val="007A22F2"/>
    <w:rsid w:val="007A3653"/>
    <w:rsid w:val="007B3452"/>
    <w:rsid w:val="007B4CFC"/>
    <w:rsid w:val="007B65E8"/>
    <w:rsid w:val="007C0B4F"/>
    <w:rsid w:val="007C2E4A"/>
    <w:rsid w:val="007D29DF"/>
    <w:rsid w:val="007D3C4D"/>
    <w:rsid w:val="007D4530"/>
    <w:rsid w:val="007E3FE5"/>
    <w:rsid w:val="007E46BE"/>
    <w:rsid w:val="007E729A"/>
    <w:rsid w:val="007F1938"/>
    <w:rsid w:val="007F23E1"/>
    <w:rsid w:val="007F23E8"/>
    <w:rsid w:val="007F45E8"/>
    <w:rsid w:val="008121E8"/>
    <w:rsid w:val="008147BA"/>
    <w:rsid w:val="00814D79"/>
    <w:rsid w:val="00821F17"/>
    <w:rsid w:val="00830F7C"/>
    <w:rsid w:val="008311A3"/>
    <w:rsid w:val="00833383"/>
    <w:rsid w:val="00836919"/>
    <w:rsid w:val="00842F25"/>
    <w:rsid w:val="00843F3D"/>
    <w:rsid w:val="00844695"/>
    <w:rsid w:val="0085599F"/>
    <w:rsid w:val="0085690B"/>
    <w:rsid w:val="008603C0"/>
    <w:rsid w:val="00862AC2"/>
    <w:rsid w:val="00862F7C"/>
    <w:rsid w:val="0087135F"/>
    <w:rsid w:val="008714D9"/>
    <w:rsid w:val="008728C3"/>
    <w:rsid w:val="00873169"/>
    <w:rsid w:val="0087389D"/>
    <w:rsid w:val="00873E2E"/>
    <w:rsid w:val="00875E22"/>
    <w:rsid w:val="00876CF0"/>
    <w:rsid w:val="00877208"/>
    <w:rsid w:val="00887EC5"/>
    <w:rsid w:val="00895314"/>
    <w:rsid w:val="00897925"/>
    <w:rsid w:val="008A14A4"/>
    <w:rsid w:val="008A30E4"/>
    <w:rsid w:val="008A3871"/>
    <w:rsid w:val="008A7880"/>
    <w:rsid w:val="008B1E30"/>
    <w:rsid w:val="008B3E8E"/>
    <w:rsid w:val="008B5508"/>
    <w:rsid w:val="008B585F"/>
    <w:rsid w:val="008B6081"/>
    <w:rsid w:val="008C051D"/>
    <w:rsid w:val="008C2FDF"/>
    <w:rsid w:val="008C50ED"/>
    <w:rsid w:val="008E51EC"/>
    <w:rsid w:val="008E6656"/>
    <w:rsid w:val="008E7756"/>
    <w:rsid w:val="008E7F14"/>
    <w:rsid w:val="008F2DF2"/>
    <w:rsid w:val="008F36B3"/>
    <w:rsid w:val="008F4A66"/>
    <w:rsid w:val="008F610E"/>
    <w:rsid w:val="0090032B"/>
    <w:rsid w:val="00906249"/>
    <w:rsid w:val="00906920"/>
    <w:rsid w:val="00910CA2"/>
    <w:rsid w:val="009123CF"/>
    <w:rsid w:val="00915885"/>
    <w:rsid w:val="009170F4"/>
    <w:rsid w:val="009208A9"/>
    <w:rsid w:val="00925811"/>
    <w:rsid w:val="009279D9"/>
    <w:rsid w:val="009302DA"/>
    <w:rsid w:val="009327C2"/>
    <w:rsid w:val="00934E2B"/>
    <w:rsid w:val="00936DCD"/>
    <w:rsid w:val="00940FDA"/>
    <w:rsid w:val="00942483"/>
    <w:rsid w:val="0094261D"/>
    <w:rsid w:val="00950AC9"/>
    <w:rsid w:val="00952CAB"/>
    <w:rsid w:val="00953AE6"/>
    <w:rsid w:val="009550E1"/>
    <w:rsid w:val="00963E08"/>
    <w:rsid w:val="00963ECE"/>
    <w:rsid w:val="00965737"/>
    <w:rsid w:val="0097012E"/>
    <w:rsid w:val="009724FD"/>
    <w:rsid w:val="00972BD3"/>
    <w:rsid w:val="0097488D"/>
    <w:rsid w:val="009764C8"/>
    <w:rsid w:val="00976F33"/>
    <w:rsid w:val="00980AF2"/>
    <w:rsid w:val="00983AD8"/>
    <w:rsid w:val="009856C6"/>
    <w:rsid w:val="00986137"/>
    <w:rsid w:val="009A05A9"/>
    <w:rsid w:val="009A1BDB"/>
    <w:rsid w:val="009A6A20"/>
    <w:rsid w:val="009B257F"/>
    <w:rsid w:val="009B2742"/>
    <w:rsid w:val="009B4CB7"/>
    <w:rsid w:val="009B4D73"/>
    <w:rsid w:val="009B4F0E"/>
    <w:rsid w:val="009B64E1"/>
    <w:rsid w:val="009B7BA5"/>
    <w:rsid w:val="009C1BEB"/>
    <w:rsid w:val="009C5328"/>
    <w:rsid w:val="009C5FA1"/>
    <w:rsid w:val="009C6D88"/>
    <w:rsid w:val="009D0CD8"/>
    <w:rsid w:val="009D3F50"/>
    <w:rsid w:val="009E0C00"/>
    <w:rsid w:val="009E2101"/>
    <w:rsid w:val="009E326D"/>
    <w:rsid w:val="009E57AC"/>
    <w:rsid w:val="009E6892"/>
    <w:rsid w:val="009F16F8"/>
    <w:rsid w:val="009F2B03"/>
    <w:rsid w:val="009F32D6"/>
    <w:rsid w:val="009F340E"/>
    <w:rsid w:val="009F7ED8"/>
    <w:rsid w:val="00A00514"/>
    <w:rsid w:val="00A019CD"/>
    <w:rsid w:val="00A138E0"/>
    <w:rsid w:val="00A14F2B"/>
    <w:rsid w:val="00A17332"/>
    <w:rsid w:val="00A17EE7"/>
    <w:rsid w:val="00A2001A"/>
    <w:rsid w:val="00A2089D"/>
    <w:rsid w:val="00A230CE"/>
    <w:rsid w:val="00A23726"/>
    <w:rsid w:val="00A244B8"/>
    <w:rsid w:val="00A26B3B"/>
    <w:rsid w:val="00A31D6C"/>
    <w:rsid w:val="00A322D8"/>
    <w:rsid w:val="00A335A9"/>
    <w:rsid w:val="00A33E62"/>
    <w:rsid w:val="00A37BD2"/>
    <w:rsid w:val="00A403C9"/>
    <w:rsid w:val="00A40762"/>
    <w:rsid w:val="00A41132"/>
    <w:rsid w:val="00A44B27"/>
    <w:rsid w:val="00A45199"/>
    <w:rsid w:val="00A47BF3"/>
    <w:rsid w:val="00A64B6F"/>
    <w:rsid w:val="00A73F3D"/>
    <w:rsid w:val="00A80870"/>
    <w:rsid w:val="00A91E47"/>
    <w:rsid w:val="00A91F66"/>
    <w:rsid w:val="00A924F3"/>
    <w:rsid w:val="00AA2995"/>
    <w:rsid w:val="00AA3C39"/>
    <w:rsid w:val="00AA3C96"/>
    <w:rsid w:val="00AA43CE"/>
    <w:rsid w:val="00AA45BA"/>
    <w:rsid w:val="00AB2FB6"/>
    <w:rsid w:val="00AB506F"/>
    <w:rsid w:val="00AB7D84"/>
    <w:rsid w:val="00AC1BB8"/>
    <w:rsid w:val="00AC2675"/>
    <w:rsid w:val="00AC3DEF"/>
    <w:rsid w:val="00AC67F1"/>
    <w:rsid w:val="00AC682E"/>
    <w:rsid w:val="00AC728A"/>
    <w:rsid w:val="00AC76E0"/>
    <w:rsid w:val="00AC7C03"/>
    <w:rsid w:val="00AC7D42"/>
    <w:rsid w:val="00AC7FB2"/>
    <w:rsid w:val="00AD1070"/>
    <w:rsid w:val="00AD220E"/>
    <w:rsid w:val="00AD4408"/>
    <w:rsid w:val="00AD7583"/>
    <w:rsid w:val="00AE088B"/>
    <w:rsid w:val="00AE2FD9"/>
    <w:rsid w:val="00AE55E5"/>
    <w:rsid w:val="00AE6938"/>
    <w:rsid w:val="00AE6EBF"/>
    <w:rsid w:val="00AE779D"/>
    <w:rsid w:val="00AE7D8D"/>
    <w:rsid w:val="00AF071B"/>
    <w:rsid w:val="00AF4147"/>
    <w:rsid w:val="00B02D98"/>
    <w:rsid w:val="00B036D6"/>
    <w:rsid w:val="00B12874"/>
    <w:rsid w:val="00B17514"/>
    <w:rsid w:val="00B17D47"/>
    <w:rsid w:val="00B213A7"/>
    <w:rsid w:val="00B26A88"/>
    <w:rsid w:val="00B3490C"/>
    <w:rsid w:val="00B3661D"/>
    <w:rsid w:val="00B370A2"/>
    <w:rsid w:val="00B41386"/>
    <w:rsid w:val="00B42319"/>
    <w:rsid w:val="00B47B44"/>
    <w:rsid w:val="00B47FEE"/>
    <w:rsid w:val="00B50EEC"/>
    <w:rsid w:val="00B519DC"/>
    <w:rsid w:val="00B54E13"/>
    <w:rsid w:val="00B55460"/>
    <w:rsid w:val="00B55628"/>
    <w:rsid w:val="00B5645E"/>
    <w:rsid w:val="00B60BC3"/>
    <w:rsid w:val="00B62D3D"/>
    <w:rsid w:val="00B64DBA"/>
    <w:rsid w:val="00B6559F"/>
    <w:rsid w:val="00B66EA9"/>
    <w:rsid w:val="00B81F05"/>
    <w:rsid w:val="00B849C7"/>
    <w:rsid w:val="00B865A8"/>
    <w:rsid w:val="00B9353B"/>
    <w:rsid w:val="00BA34A2"/>
    <w:rsid w:val="00BA353F"/>
    <w:rsid w:val="00BA5282"/>
    <w:rsid w:val="00BB0689"/>
    <w:rsid w:val="00BB327D"/>
    <w:rsid w:val="00BB47DD"/>
    <w:rsid w:val="00BC3ACC"/>
    <w:rsid w:val="00BC6102"/>
    <w:rsid w:val="00BE0247"/>
    <w:rsid w:val="00BE355A"/>
    <w:rsid w:val="00BE6145"/>
    <w:rsid w:val="00BE7B38"/>
    <w:rsid w:val="00BF3D55"/>
    <w:rsid w:val="00BF476C"/>
    <w:rsid w:val="00BF5483"/>
    <w:rsid w:val="00BF7289"/>
    <w:rsid w:val="00C012AB"/>
    <w:rsid w:val="00C069F2"/>
    <w:rsid w:val="00C13176"/>
    <w:rsid w:val="00C156F7"/>
    <w:rsid w:val="00C15CE0"/>
    <w:rsid w:val="00C27331"/>
    <w:rsid w:val="00C369E5"/>
    <w:rsid w:val="00C43A66"/>
    <w:rsid w:val="00C44F02"/>
    <w:rsid w:val="00C621CB"/>
    <w:rsid w:val="00C66312"/>
    <w:rsid w:val="00C713E5"/>
    <w:rsid w:val="00C722DF"/>
    <w:rsid w:val="00C75407"/>
    <w:rsid w:val="00C75CD9"/>
    <w:rsid w:val="00C77B91"/>
    <w:rsid w:val="00C83466"/>
    <w:rsid w:val="00C869BC"/>
    <w:rsid w:val="00C86C00"/>
    <w:rsid w:val="00C87C96"/>
    <w:rsid w:val="00C93744"/>
    <w:rsid w:val="00C94E29"/>
    <w:rsid w:val="00C95093"/>
    <w:rsid w:val="00C95D04"/>
    <w:rsid w:val="00CA3C7C"/>
    <w:rsid w:val="00CB4011"/>
    <w:rsid w:val="00CB44B1"/>
    <w:rsid w:val="00CC0057"/>
    <w:rsid w:val="00CC17A8"/>
    <w:rsid w:val="00CC243A"/>
    <w:rsid w:val="00CC391C"/>
    <w:rsid w:val="00CC73D3"/>
    <w:rsid w:val="00CD16BE"/>
    <w:rsid w:val="00CD4439"/>
    <w:rsid w:val="00CD6901"/>
    <w:rsid w:val="00CD717E"/>
    <w:rsid w:val="00CE4BE1"/>
    <w:rsid w:val="00D126A5"/>
    <w:rsid w:val="00D1615C"/>
    <w:rsid w:val="00D20352"/>
    <w:rsid w:val="00D24F7E"/>
    <w:rsid w:val="00D27FFB"/>
    <w:rsid w:val="00D345E9"/>
    <w:rsid w:val="00D36393"/>
    <w:rsid w:val="00D37214"/>
    <w:rsid w:val="00D40E82"/>
    <w:rsid w:val="00D43115"/>
    <w:rsid w:val="00D4401F"/>
    <w:rsid w:val="00D515F9"/>
    <w:rsid w:val="00D51B48"/>
    <w:rsid w:val="00D54EE5"/>
    <w:rsid w:val="00D56237"/>
    <w:rsid w:val="00D5627A"/>
    <w:rsid w:val="00D60815"/>
    <w:rsid w:val="00D62315"/>
    <w:rsid w:val="00D65465"/>
    <w:rsid w:val="00D6678F"/>
    <w:rsid w:val="00D71058"/>
    <w:rsid w:val="00D725B8"/>
    <w:rsid w:val="00D74161"/>
    <w:rsid w:val="00D7618E"/>
    <w:rsid w:val="00D80D0B"/>
    <w:rsid w:val="00D83880"/>
    <w:rsid w:val="00D84834"/>
    <w:rsid w:val="00D9130C"/>
    <w:rsid w:val="00D91783"/>
    <w:rsid w:val="00D92820"/>
    <w:rsid w:val="00D94305"/>
    <w:rsid w:val="00DA046F"/>
    <w:rsid w:val="00DA5166"/>
    <w:rsid w:val="00DB08B0"/>
    <w:rsid w:val="00DB19D7"/>
    <w:rsid w:val="00DB6F38"/>
    <w:rsid w:val="00DB74BC"/>
    <w:rsid w:val="00DC1294"/>
    <w:rsid w:val="00DC2B3D"/>
    <w:rsid w:val="00DC2C1D"/>
    <w:rsid w:val="00DC5D79"/>
    <w:rsid w:val="00DD1373"/>
    <w:rsid w:val="00DD190B"/>
    <w:rsid w:val="00DD45DE"/>
    <w:rsid w:val="00DD5141"/>
    <w:rsid w:val="00DD535F"/>
    <w:rsid w:val="00DD77E5"/>
    <w:rsid w:val="00DE71F6"/>
    <w:rsid w:val="00DF1090"/>
    <w:rsid w:val="00DF4727"/>
    <w:rsid w:val="00E039CF"/>
    <w:rsid w:val="00E03AE8"/>
    <w:rsid w:val="00E03CDE"/>
    <w:rsid w:val="00E0645B"/>
    <w:rsid w:val="00E10082"/>
    <w:rsid w:val="00E16E10"/>
    <w:rsid w:val="00E214B0"/>
    <w:rsid w:val="00E22986"/>
    <w:rsid w:val="00E243B7"/>
    <w:rsid w:val="00E25923"/>
    <w:rsid w:val="00E3095C"/>
    <w:rsid w:val="00E35FE2"/>
    <w:rsid w:val="00E36F52"/>
    <w:rsid w:val="00E441B5"/>
    <w:rsid w:val="00E46AFA"/>
    <w:rsid w:val="00E47ACD"/>
    <w:rsid w:val="00E47C48"/>
    <w:rsid w:val="00E5113C"/>
    <w:rsid w:val="00E514CF"/>
    <w:rsid w:val="00E5215B"/>
    <w:rsid w:val="00E52939"/>
    <w:rsid w:val="00E52A62"/>
    <w:rsid w:val="00E54800"/>
    <w:rsid w:val="00E554B8"/>
    <w:rsid w:val="00E62E09"/>
    <w:rsid w:val="00E632F8"/>
    <w:rsid w:val="00E63485"/>
    <w:rsid w:val="00E63781"/>
    <w:rsid w:val="00E669AB"/>
    <w:rsid w:val="00E70A27"/>
    <w:rsid w:val="00E70B28"/>
    <w:rsid w:val="00E71194"/>
    <w:rsid w:val="00E7192B"/>
    <w:rsid w:val="00E811E5"/>
    <w:rsid w:val="00E84D35"/>
    <w:rsid w:val="00E86DA9"/>
    <w:rsid w:val="00E942F1"/>
    <w:rsid w:val="00E953D7"/>
    <w:rsid w:val="00E97F65"/>
    <w:rsid w:val="00EA224C"/>
    <w:rsid w:val="00EA27DD"/>
    <w:rsid w:val="00EA498E"/>
    <w:rsid w:val="00EA55AF"/>
    <w:rsid w:val="00EA6936"/>
    <w:rsid w:val="00EA76E2"/>
    <w:rsid w:val="00EA77FF"/>
    <w:rsid w:val="00EA789F"/>
    <w:rsid w:val="00EB047D"/>
    <w:rsid w:val="00EB083C"/>
    <w:rsid w:val="00EB13DA"/>
    <w:rsid w:val="00EB2CE6"/>
    <w:rsid w:val="00EC07C7"/>
    <w:rsid w:val="00ED1DB1"/>
    <w:rsid w:val="00ED2D1E"/>
    <w:rsid w:val="00ED3647"/>
    <w:rsid w:val="00ED4B58"/>
    <w:rsid w:val="00ED5678"/>
    <w:rsid w:val="00EF23B0"/>
    <w:rsid w:val="00EF7772"/>
    <w:rsid w:val="00F033D7"/>
    <w:rsid w:val="00F03AFC"/>
    <w:rsid w:val="00F04B28"/>
    <w:rsid w:val="00F068F3"/>
    <w:rsid w:val="00F12029"/>
    <w:rsid w:val="00F14CF5"/>
    <w:rsid w:val="00F15022"/>
    <w:rsid w:val="00F15EA1"/>
    <w:rsid w:val="00F16ACE"/>
    <w:rsid w:val="00F2171D"/>
    <w:rsid w:val="00F2464F"/>
    <w:rsid w:val="00F30185"/>
    <w:rsid w:val="00F307F3"/>
    <w:rsid w:val="00F34A56"/>
    <w:rsid w:val="00F34EE8"/>
    <w:rsid w:val="00F46CED"/>
    <w:rsid w:val="00F50B44"/>
    <w:rsid w:val="00F51033"/>
    <w:rsid w:val="00F5625C"/>
    <w:rsid w:val="00F71ACE"/>
    <w:rsid w:val="00F73BFF"/>
    <w:rsid w:val="00F76F7D"/>
    <w:rsid w:val="00F830DF"/>
    <w:rsid w:val="00F83D26"/>
    <w:rsid w:val="00F87D9A"/>
    <w:rsid w:val="00F90880"/>
    <w:rsid w:val="00F90B3C"/>
    <w:rsid w:val="00F97E19"/>
    <w:rsid w:val="00FA2B91"/>
    <w:rsid w:val="00FA3016"/>
    <w:rsid w:val="00FA68E8"/>
    <w:rsid w:val="00FA6E76"/>
    <w:rsid w:val="00FA7ECE"/>
    <w:rsid w:val="00FB0064"/>
    <w:rsid w:val="00FB0091"/>
    <w:rsid w:val="00FB07AC"/>
    <w:rsid w:val="00FC13AD"/>
    <w:rsid w:val="00FC332C"/>
    <w:rsid w:val="00FC4708"/>
    <w:rsid w:val="00FD124A"/>
    <w:rsid w:val="00FD554B"/>
    <w:rsid w:val="00FD5B59"/>
    <w:rsid w:val="00FD7E12"/>
    <w:rsid w:val="00FD7F92"/>
    <w:rsid w:val="00FE0C82"/>
    <w:rsid w:val="00FE4BAF"/>
    <w:rsid w:val="00FE4D6E"/>
    <w:rsid w:val="00FE66C0"/>
    <w:rsid w:val="00FF503F"/>
    <w:rsid w:val="00FF66D5"/>
    <w:rsid w:val="00FF6C0E"/>
    <w:rsid w:val="01863C9A"/>
    <w:rsid w:val="020F00C2"/>
    <w:rsid w:val="02AC67DF"/>
    <w:rsid w:val="02FD3AF0"/>
    <w:rsid w:val="032D7E64"/>
    <w:rsid w:val="03351579"/>
    <w:rsid w:val="033E5992"/>
    <w:rsid w:val="03D35BA5"/>
    <w:rsid w:val="03E70E0A"/>
    <w:rsid w:val="03E76B5A"/>
    <w:rsid w:val="04127CAE"/>
    <w:rsid w:val="047224B0"/>
    <w:rsid w:val="055E2327"/>
    <w:rsid w:val="05762148"/>
    <w:rsid w:val="058E7046"/>
    <w:rsid w:val="05A63F9A"/>
    <w:rsid w:val="060329EF"/>
    <w:rsid w:val="06056F5C"/>
    <w:rsid w:val="06A3509A"/>
    <w:rsid w:val="06BC2F7D"/>
    <w:rsid w:val="077E5546"/>
    <w:rsid w:val="07EF22BA"/>
    <w:rsid w:val="08D83527"/>
    <w:rsid w:val="08EB4178"/>
    <w:rsid w:val="090C33C4"/>
    <w:rsid w:val="091746A8"/>
    <w:rsid w:val="092E1CC8"/>
    <w:rsid w:val="098A0323"/>
    <w:rsid w:val="0A2E4624"/>
    <w:rsid w:val="0A9501C1"/>
    <w:rsid w:val="0A9529E5"/>
    <w:rsid w:val="0AAC2FB6"/>
    <w:rsid w:val="0AF40B8C"/>
    <w:rsid w:val="0B545930"/>
    <w:rsid w:val="0B9B601B"/>
    <w:rsid w:val="0BE04E98"/>
    <w:rsid w:val="0C4C6306"/>
    <w:rsid w:val="0CC85411"/>
    <w:rsid w:val="0CDD549F"/>
    <w:rsid w:val="0D5E35D0"/>
    <w:rsid w:val="0D837069"/>
    <w:rsid w:val="0DCE71F4"/>
    <w:rsid w:val="0ECD0015"/>
    <w:rsid w:val="0ED80506"/>
    <w:rsid w:val="0F3000EE"/>
    <w:rsid w:val="0F591918"/>
    <w:rsid w:val="10BE0B64"/>
    <w:rsid w:val="115A0E16"/>
    <w:rsid w:val="115C7AA5"/>
    <w:rsid w:val="11BF4DBF"/>
    <w:rsid w:val="11EC1DA8"/>
    <w:rsid w:val="12392084"/>
    <w:rsid w:val="124E2BD7"/>
    <w:rsid w:val="12904673"/>
    <w:rsid w:val="12B57507"/>
    <w:rsid w:val="13A05877"/>
    <w:rsid w:val="13D9452C"/>
    <w:rsid w:val="13DE396C"/>
    <w:rsid w:val="14732675"/>
    <w:rsid w:val="14B67234"/>
    <w:rsid w:val="14C11615"/>
    <w:rsid w:val="15797725"/>
    <w:rsid w:val="15A20B2C"/>
    <w:rsid w:val="160024CC"/>
    <w:rsid w:val="162B123C"/>
    <w:rsid w:val="16907FCA"/>
    <w:rsid w:val="16B70718"/>
    <w:rsid w:val="16BE415A"/>
    <w:rsid w:val="16F64571"/>
    <w:rsid w:val="172E10FC"/>
    <w:rsid w:val="173F228B"/>
    <w:rsid w:val="181F2257"/>
    <w:rsid w:val="19916EC9"/>
    <w:rsid w:val="1A522929"/>
    <w:rsid w:val="1B814C5A"/>
    <w:rsid w:val="1BC87FE8"/>
    <w:rsid w:val="1BDB14EF"/>
    <w:rsid w:val="1CF13A74"/>
    <w:rsid w:val="1CFC7462"/>
    <w:rsid w:val="1DA41B1A"/>
    <w:rsid w:val="1E360CAA"/>
    <w:rsid w:val="1E6B06B2"/>
    <w:rsid w:val="1E9542D2"/>
    <w:rsid w:val="1EB5758B"/>
    <w:rsid w:val="1EFD3542"/>
    <w:rsid w:val="1F2143D2"/>
    <w:rsid w:val="1F32784A"/>
    <w:rsid w:val="1F820FA9"/>
    <w:rsid w:val="1FAB6C15"/>
    <w:rsid w:val="1FF21118"/>
    <w:rsid w:val="20757643"/>
    <w:rsid w:val="209F7F10"/>
    <w:rsid w:val="20B83DA1"/>
    <w:rsid w:val="20FE428C"/>
    <w:rsid w:val="21090DA7"/>
    <w:rsid w:val="211E77F7"/>
    <w:rsid w:val="214F172A"/>
    <w:rsid w:val="217B682C"/>
    <w:rsid w:val="218F7465"/>
    <w:rsid w:val="21B15D82"/>
    <w:rsid w:val="22396A53"/>
    <w:rsid w:val="22AD77CF"/>
    <w:rsid w:val="230F1673"/>
    <w:rsid w:val="23185D88"/>
    <w:rsid w:val="23D1723C"/>
    <w:rsid w:val="24A51BC3"/>
    <w:rsid w:val="256A6878"/>
    <w:rsid w:val="25941AB8"/>
    <w:rsid w:val="26314E3F"/>
    <w:rsid w:val="2654307D"/>
    <w:rsid w:val="26C6403B"/>
    <w:rsid w:val="272E3BFF"/>
    <w:rsid w:val="28DD19E1"/>
    <w:rsid w:val="291733AD"/>
    <w:rsid w:val="295C6419"/>
    <w:rsid w:val="29692D46"/>
    <w:rsid w:val="296D6D34"/>
    <w:rsid w:val="29CE0DAE"/>
    <w:rsid w:val="29EF3E18"/>
    <w:rsid w:val="2A4614B3"/>
    <w:rsid w:val="2A8D2719"/>
    <w:rsid w:val="2A99374F"/>
    <w:rsid w:val="2AB7577C"/>
    <w:rsid w:val="2AC81461"/>
    <w:rsid w:val="2B0455DE"/>
    <w:rsid w:val="2B145A8A"/>
    <w:rsid w:val="2B3C76DA"/>
    <w:rsid w:val="2B796589"/>
    <w:rsid w:val="2BC120F3"/>
    <w:rsid w:val="2C147B99"/>
    <w:rsid w:val="2C172FC5"/>
    <w:rsid w:val="2C275C7F"/>
    <w:rsid w:val="2CEA6146"/>
    <w:rsid w:val="2D2527E5"/>
    <w:rsid w:val="2DAB39CA"/>
    <w:rsid w:val="2E864951"/>
    <w:rsid w:val="2E991A26"/>
    <w:rsid w:val="2ED74DB0"/>
    <w:rsid w:val="2FE77184"/>
    <w:rsid w:val="308D6B97"/>
    <w:rsid w:val="308F6E2F"/>
    <w:rsid w:val="30B35746"/>
    <w:rsid w:val="31124059"/>
    <w:rsid w:val="31234777"/>
    <w:rsid w:val="313D1C3F"/>
    <w:rsid w:val="31DD50A3"/>
    <w:rsid w:val="32E210ED"/>
    <w:rsid w:val="32FA7D77"/>
    <w:rsid w:val="331E6FF1"/>
    <w:rsid w:val="33890944"/>
    <w:rsid w:val="339630A7"/>
    <w:rsid w:val="340E5300"/>
    <w:rsid w:val="342E75B7"/>
    <w:rsid w:val="34827A2C"/>
    <w:rsid w:val="35412F1B"/>
    <w:rsid w:val="357E53F1"/>
    <w:rsid w:val="35F47F77"/>
    <w:rsid w:val="364A7943"/>
    <w:rsid w:val="364F3F60"/>
    <w:rsid w:val="36FE1006"/>
    <w:rsid w:val="38115C21"/>
    <w:rsid w:val="3828670A"/>
    <w:rsid w:val="38544094"/>
    <w:rsid w:val="38CD5B83"/>
    <w:rsid w:val="38D2354C"/>
    <w:rsid w:val="38E07FC4"/>
    <w:rsid w:val="38EF4025"/>
    <w:rsid w:val="3981427F"/>
    <w:rsid w:val="39A84E27"/>
    <w:rsid w:val="3A2443D4"/>
    <w:rsid w:val="3A583ED6"/>
    <w:rsid w:val="3B077FEC"/>
    <w:rsid w:val="3B242A01"/>
    <w:rsid w:val="3B6A6ED9"/>
    <w:rsid w:val="3BAC0D59"/>
    <w:rsid w:val="3BE7474D"/>
    <w:rsid w:val="3C6F429A"/>
    <w:rsid w:val="3CE84599"/>
    <w:rsid w:val="3D1C180D"/>
    <w:rsid w:val="3D4E41C9"/>
    <w:rsid w:val="3DFF7705"/>
    <w:rsid w:val="3E0E6582"/>
    <w:rsid w:val="3EBF0B2B"/>
    <w:rsid w:val="3EDB7325"/>
    <w:rsid w:val="3F4A1547"/>
    <w:rsid w:val="3F5E045E"/>
    <w:rsid w:val="3F9E03FB"/>
    <w:rsid w:val="402D1E7C"/>
    <w:rsid w:val="407119EA"/>
    <w:rsid w:val="40A53396"/>
    <w:rsid w:val="42037AE7"/>
    <w:rsid w:val="42570081"/>
    <w:rsid w:val="427C67EE"/>
    <w:rsid w:val="430A7EF6"/>
    <w:rsid w:val="430C418A"/>
    <w:rsid w:val="431B776A"/>
    <w:rsid w:val="43643F62"/>
    <w:rsid w:val="44386F02"/>
    <w:rsid w:val="445D293E"/>
    <w:rsid w:val="44F85098"/>
    <w:rsid w:val="450E772B"/>
    <w:rsid w:val="452075F2"/>
    <w:rsid w:val="459C3464"/>
    <w:rsid w:val="45D7696F"/>
    <w:rsid w:val="460771D8"/>
    <w:rsid w:val="464C1FDC"/>
    <w:rsid w:val="46570691"/>
    <w:rsid w:val="46990F17"/>
    <w:rsid w:val="46B02872"/>
    <w:rsid w:val="46F310A4"/>
    <w:rsid w:val="46FD1D72"/>
    <w:rsid w:val="479F2D62"/>
    <w:rsid w:val="47D86F45"/>
    <w:rsid w:val="484E0D31"/>
    <w:rsid w:val="48AA39FC"/>
    <w:rsid w:val="48AF20F3"/>
    <w:rsid w:val="49966602"/>
    <w:rsid w:val="49DA0B0D"/>
    <w:rsid w:val="4A08142F"/>
    <w:rsid w:val="4AC475EA"/>
    <w:rsid w:val="4ADD3723"/>
    <w:rsid w:val="4B364D4C"/>
    <w:rsid w:val="4BEF2B43"/>
    <w:rsid w:val="4C26279B"/>
    <w:rsid w:val="4C5E69AD"/>
    <w:rsid w:val="4C872DDE"/>
    <w:rsid w:val="4D065BCC"/>
    <w:rsid w:val="4D073302"/>
    <w:rsid w:val="4D4E715D"/>
    <w:rsid w:val="4DA37DD3"/>
    <w:rsid w:val="4DF25FAB"/>
    <w:rsid w:val="4E574373"/>
    <w:rsid w:val="4EEB447C"/>
    <w:rsid w:val="4EF95473"/>
    <w:rsid w:val="4F1C7B6D"/>
    <w:rsid w:val="4F4332F1"/>
    <w:rsid w:val="4F844C67"/>
    <w:rsid w:val="4F920817"/>
    <w:rsid w:val="4FB44F70"/>
    <w:rsid w:val="4FBB3A44"/>
    <w:rsid w:val="4FBD7D93"/>
    <w:rsid w:val="505A66A3"/>
    <w:rsid w:val="509D0A68"/>
    <w:rsid w:val="511C4F1E"/>
    <w:rsid w:val="513D6DB2"/>
    <w:rsid w:val="51F45A9F"/>
    <w:rsid w:val="523D0B23"/>
    <w:rsid w:val="528059BF"/>
    <w:rsid w:val="528E516C"/>
    <w:rsid w:val="530076A2"/>
    <w:rsid w:val="53473435"/>
    <w:rsid w:val="537B1C4F"/>
    <w:rsid w:val="5382263F"/>
    <w:rsid w:val="53E9086E"/>
    <w:rsid w:val="53ED77AD"/>
    <w:rsid w:val="5406035A"/>
    <w:rsid w:val="550A6F69"/>
    <w:rsid w:val="55CF44C8"/>
    <w:rsid w:val="562304E8"/>
    <w:rsid w:val="566F1FE5"/>
    <w:rsid w:val="569400E1"/>
    <w:rsid w:val="57030AC8"/>
    <w:rsid w:val="571C6373"/>
    <w:rsid w:val="57D36ED4"/>
    <w:rsid w:val="582E7649"/>
    <w:rsid w:val="583D5B7D"/>
    <w:rsid w:val="594308EA"/>
    <w:rsid w:val="599B1857"/>
    <w:rsid w:val="59C633A1"/>
    <w:rsid w:val="59F717D8"/>
    <w:rsid w:val="5A025A4F"/>
    <w:rsid w:val="5A1378CD"/>
    <w:rsid w:val="5A9143FB"/>
    <w:rsid w:val="5B95284A"/>
    <w:rsid w:val="5C7211F3"/>
    <w:rsid w:val="5CB27374"/>
    <w:rsid w:val="5CFC504C"/>
    <w:rsid w:val="5D1A3554"/>
    <w:rsid w:val="5D5622D4"/>
    <w:rsid w:val="5D9D1CB8"/>
    <w:rsid w:val="5DC4592D"/>
    <w:rsid w:val="5DF22E23"/>
    <w:rsid w:val="5DFC5B79"/>
    <w:rsid w:val="5ECD4271"/>
    <w:rsid w:val="60CC3DAD"/>
    <w:rsid w:val="61921297"/>
    <w:rsid w:val="61B7506F"/>
    <w:rsid w:val="623916D3"/>
    <w:rsid w:val="625F1CD2"/>
    <w:rsid w:val="62670D81"/>
    <w:rsid w:val="628D2852"/>
    <w:rsid w:val="63B002C4"/>
    <w:rsid w:val="63B35B54"/>
    <w:rsid w:val="63BC0D27"/>
    <w:rsid w:val="63BC2E37"/>
    <w:rsid w:val="63C21FC2"/>
    <w:rsid w:val="640620AB"/>
    <w:rsid w:val="64C0631A"/>
    <w:rsid w:val="655C2101"/>
    <w:rsid w:val="660C51B1"/>
    <w:rsid w:val="66AF4804"/>
    <w:rsid w:val="6718536D"/>
    <w:rsid w:val="67583B95"/>
    <w:rsid w:val="67651DF0"/>
    <w:rsid w:val="67C22CF2"/>
    <w:rsid w:val="6802119E"/>
    <w:rsid w:val="681C67B4"/>
    <w:rsid w:val="682B5393"/>
    <w:rsid w:val="684F79FD"/>
    <w:rsid w:val="68BB2CC6"/>
    <w:rsid w:val="693E35F5"/>
    <w:rsid w:val="69B752EB"/>
    <w:rsid w:val="69FA3110"/>
    <w:rsid w:val="6A6F0B14"/>
    <w:rsid w:val="6A921848"/>
    <w:rsid w:val="6AC26646"/>
    <w:rsid w:val="6B187303"/>
    <w:rsid w:val="6C2E36B1"/>
    <w:rsid w:val="6C472DE5"/>
    <w:rsid w:val="6C5A12FE"/>
    <w:rsid w:val="6D562EE7"/>
    <w:rsid w:val="6E297A33"/>
    <w:rsid w:val="6E845476"/>
    <w:rsid w:val="6F1A04C3"/>
    <w:rsid w:val="6F51156C"/>
    <w:rsid w:val="70001345"/>
    <w:rsid w:val="70BE1373"/>
    <w:rsid w:val="70D50A0F"/>
    <w:rsid w:val="71490AF5"/>
    <w:rsid w:val="71A05075"/>
    <w:rsid w:val="72584B81"/>
    <w:rsid w:val="72A335E8"/>
    <w:rsid w:val="735A52E9"/>
    <w:rsid w:val="741E47CC"/>
    <w:rsid w:val="748945DF"/>
    <w:rsid w:val="74DF1DE4"/>
    <w:rsid w:val="751E4E1C"/>
    <w:rsid w:val="75307E25"/>
    <w:rsid w:val="755C791E"/>
    <w:rsid w:val="75E55C8F"/>
    <w:rsid w:val="75E612AA"/>
    <w:rsid w:val="75F96C19"/>
    <w:rsid w:val="76404BB2"/>
    <w:rsid w:val="7661526D"/>
    <w:rsid w:val="76796545"/>
    <w:rsid w:val="77275360"/>
    <w:rsid w:val="77683272"/>
    <w:rsid w:val="77E05325"/>
    <w:rsid w:val="77FB4666"/>
    <w:rsid w:val="787A67B8"/>
    <w:rsid w:val="78F81BD4"/>
    <w:rsid w:val="798A12E7"/>
    <w:rsid w:val="79D645A2"/>
    <w:rsid w:val="7A0A297B"/>
    <w:rsid w:val="7A5360C3"/>
    <w:rsid w:val="7A76744E"/>
    <w:rsid w:val="7A9965B5"/>
    <w:rsid w:val="7B080B79"/>
    <w:rsid w:val="7B6F5046"/>
    <w:rsid w:val="7C1F1367"/>
    <w:rsid w:val="7D037198"/>
    <w:rsid w:val="7D3744A1"/>
    <w:rsid w:val="7D8974B0"/>
    <w:rsid w:val="7E1462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nhideWhenUsed="0" w:uiPriority="39" w:semiHidden="0"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semiHidden="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iPriority="99"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4"/>
    <w:next w:val="1"/>
    <w:link w:val="30"/>
    <w:qFormat/>
    <w:uiPriority w:val="0"/>
    <w:pPr>
      <w:numPr>
        <w:ilvl w:val="0"/>
        <w:numId w:val="1"/>
      </w:numPr>
      <w:tabs>
        <w:tab w:val="right" w:leader="dot" w:pos="8290"/>
      </w:tabs>
      <w:outlineLvl w:val="0"/>
    </w:pPr>
    <w:rPr>
      <w:rFonts w:ascii="Times New Roman" w:hAnsi="Times New Roman" w:eastAsia="黑体"/>
      <w:sz w:val="32"/>
      <w:szCs w:val="32"/>
    </w:rPr>
  </w:style>
  <w:style w:type="paragraph" w:styleId="5">
    <w:name w:val="heading 2"/>
    <w:basedOn w:val="1"/>
    <w:next w:val="1"/>
    <w:link w:val="29"/>
    <w:qFormat/>
    <w:uiPriority w:val="0"/>
    <w:pPr>
      <w:spacing w:before="100" w:beforeAutospacing="1" w:after="100" w:afterAutospacing="1"/>
      <w:jc w:val="center"/>
      <w:outlineLvl w:val="1"/>
    </w:pPr>
    <w:rPr>
      <w:rFonts w:ascii="Times New Roman" w:hAnsi="Times New Roman" w:eastAsia="黑体"/>
      <w:sz w:val="32"/>
      <w:szCs w:val="32"/>
    </w:rPr>
  </w:style>
  <w:style w:type="paragraph" w:styleId="6">
    <w:name w:val="heading 3"/>
    <w:basedOn w:val="1"/>
    <w:next w:val="1"/>
    <w:qFormat/>
    <w:uiPriority w:val="0"/>
    <w:pPr>
      <w:spacing w:before="100" w:beforeAutospacing="1" w:after="100" w:afterAutospacing="1"/>
      <w:jc w:val="left"/>
      <w:outlineLvl w:val="2"/>
    </w:pPr>
    <w:rPr>
      <w:rFonts w:hint="eastAsia" w:ascii="宋体" w:hAnsi="宋体"/>
      <w:b/>
      <w:kern w:val="0"/>
      <w:sz w:val="27"/>
      <w:szCs w:val="27"/>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33"/>
    <w:qFormat/>
    <w:uiPriority w:val="0"/>
    <w:pPr>
      <w:jc w:val="center"/>
      <w:outlineLvl w:val="0"/>
    </w:pPr>
    <w:rPr>
      <w:rFonts w:ascii="Arial" w:hAnsi="Arial"/>
      <w:b/>
      <w:sz w:val="32"/>
    </w:rPr>
  </w:style>
  <w:style w:type="paragraph" w:styleId="4">
    <w:name w:val="toc 1"/>
    <w:basedOn w:val="1"/>
    <w:next w:val="1"/>
    <w:unhideWhenUsed/>
    <w:qFormat/>
    <w:uiPriority w:val="39"/>
  </w:style>
  <w:style w:type="paragraph" w:styleId="7">
    <w:name w:val="Document Map"/>
    <w:basedOn w:val="1"/>
    <w:link w:val="31"/>
    <w:qFormat/>
    <w:uiPriority w:val="0"/>
    <w:rPr>
      <w:rFonts w:ascii="宋体"/>
      <w:sz w:val="18"/>
      <w:szCs w:val="18"/>
    </w:rPr>
  </w:style>
  <w:style w:type="paragraph" w:styleId="8">
    <w:name w:val="annotation text"/>
    <w:basedOn w:val="1"/>
    <w:link w:val="39"/>
    <w:semiHidden/>
    <w:unhideWhenUsed/>
    <w:qFormat/>
    <w:uiPriority w:val="0"/>
    <w:pPr>
      <w:jc w:val="left"/>
    </w:pPr>
  </w:style>
  <w:style w:type="paragraph" w:styleId="9">
    <w:name w:val="Body Text Indent"/>
    <w:basedOn w:val="1"/>
    <w:qFormat/>
    <w:uiPriority w:val="0"/>
    <w:pPr>
      <w:spacing w:line="360" w:lineRule="auto"/>
      <w:ind w:firstLine="480" w:firstLineChars="200"/>
    </w:pPr>
    <w:rPr>
      <w:rFonts w:ascii="宋体"/>
      <w:sz w:val="24"/>
    </w:rPr>
  </w:style>
  <w:style w:type="paragraph" w:styleId="10">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11">
    <w:name w:val="Body Text Indent 2"/>
    <w:basedOn w:val="1"/>
    <w:link w:val="34"/>
    <w:unhideWhenUsed/>
    <w:qFormat/>
    <w:uiPriority w:val="99"/>
    <w:pPr>
      <w:spacing w:after="120" w:line="480" w:lineRule="auto"/>
      <w:ind w:left="420" w:leftChars="200"/>
    </w:pPr>
    <w:rPr>
      <w:rFonts w:asciiTheme="minorHAnsi" w:hAnsiTheme="minorHAnsi" w:eastAsiaTheme="minorEastAsia" w:cstheme="minorBidi"/>
      <w:szCs w:val="22"/>
    </w:rPr>
  </w:style>
  <w:style w:type="paragraph" w:styleId="12">
    <w:name w:val="Balloon Text"/>
    <w:basedOn w:val="1"/>
    <w:link w:val="36"/>
    <w:semiHidden/>
    <w:unhideWhenUsed/>
    <w:qFormat/>
    <w:uiPriority w:val="0"/>
    <w:rPr>
      <w:sz w:val="18"/>
      <w:szCs w:val="18"/>
    </w:rPr>
  </w:style>
  <w:style w:type="paragraph" w:styleId="13">
    <w:name w:val="footer"/>
    <w:basedOn w:val="1"/>
    <w:link w:val="28"/>
    <w:qFormat/>
    <w:uiPriority w:val="99"/>
    <w:pPr>
      <w:tabs>
        <w:tab w:val="center" w:pos="4153"/>
        <w:tab w:val="right" w:pos="8306"/>
      </w:tabs>
      <w:snapToGrid w:val="0"/>
      <w:jc w:val="left"/>
    </w:pPr>
    <w:rPr>
      <w:sz w:val="18"/>
      <w:szCs w:val="18"/>
    </w:rPr>
  </w:style>
  <w:style w:type="paragraph" w:styleId="14">
    <w:name w:val="header"/>
    <w:basedOn w:val="1"/>
    <w:link w:val="27"/>
    <w:qFormat/>
    <w:uiPriority w:val="0"/>
    <w:pPr>
      <w:pBdr>
        <w:bottom w:val="single" w:color="auto" w:sz="6" w:space="1"/>
      </w:pBdr>
      <w:tabs>
        <w:tab w:val="center" w:pos="4153"/>
        <w:tab w:val="right" w:pos="8306"/>
      </w:tabs>
      <w:snapToGrid w:val="0"/>
      <w:jc w:val="center"/>
    </w:pPr>
    <w:rPr>
      <w:sz w:val="18"/>
      <w:szCs w:val="18"/>
    </w:rPr>
  </w:style>
  <w:style w:type="paragraph" w:styleId="15">
    <w:name w:val="footnote text"/>
    <w:basedOn w:val="1"/>
    <w:qFormat/>
    <w:uiPriority w:val="0"/>
    <w:pPr>
      <w:snapToGrid w:val="0"/>
      <w:jc w:val="left"/>
    </w:pPr>
    <w:rPr>
      <w:sz w:val="18"/>
    </w:rPr>
  </w:style>
  <w:style w:type="paragraph" w:styleId="16">
    <w:name w:val="toc 2"/>
    <w:basedOn w:val="1"/>
    <w:next w:val="1"/>
    <w:qFormat/>
    <w:uiPriority w:val="39"/>
    <w:pPr>
      <w:ind w:left="420" w:leftChars="200"/>
    </w:pPr>
  </w:style>
  <w:style w:type="paragraph" w:styleId="17">
    <w:name w:val="Normal (Web)"/>
    <w:basedOn w:val="1"/>
    <w:qFormat/>
    <w:uiPriority w:val="99"/>
    <w:pPr>
      <w:spacing w:before="100" w:beforeAutospacing="1" w:after="100" w:afterAutospacing="1"/>
      <w:jc w:val="left"/>
    </w:pPr>
    <w:rPr>
      <w:kern w:val="0"/>
      <w:sz w:val="24"/>
    </w:rPr>
  </w:style>
  <w:style w:type="paragraph" w:styleId="18">
    <w:name w:val="annotation subject"/>
    <w:basedOn w:val="8"/>
    <w:next w:val="8"/>
    <w:link w:val="40"/>
    <w:semiHidden/>
    <w:unhideWhenUsed/>
    <w:qFormat/>
    <w:uiPriority w:val="0"/>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22"/>
    <w:rPr>
      <w:b/>
      <w:bCs/>
    </w:rPr>
  </w:style>
  <w:style w:type="character" w:styleId="23">
    <w:name w:val="Emphasis"/>
    <w:qFormat/>
    <w:uiPriority w:val="0"/>
    <w:rPr>
      <w:i/>
    </w:rPr>
  </w:style>
  <w:style w:type="character" w:styleId="24">
    <w:name w:val="Hyperlink"/>
    <w:basedOn w:val="21"/>
    <w:qFormat/>
    <w:uiPriority w:val="99"/>
    <w:rPr>
      <w:rFonts w:cs="Times New Roman"/>
      <w:color w:val="0000FF"/>
      <w:u w:val="none"/>
    </w:rPr>
  </w:style>
  <w:style w:type="character" w:styleId="25">
    <w:name w:val="annotation reference"/>
    <w:basedOn w:val="21"/>
    <w:semiHidden/>
    <w:unhideWhenUsed/>
    <w:qFormat/>
    <w:uiPriority w:val="0"/>
    <w:rPr>
      <w:sz w:val="21"/>
      <w:szCs w:val="21"/>
    </w:rPr>
  </w:style>
  <w:style w:type="character" w:styleId="26">
    <w:name w:val="footnote reference"/>
    <w:qFormat/>
    <w:uiPriority w:val="0"/>
    <w:rPr>
      <w:vertAlign w:val="superscript"/>
    </w:rPr>
  </w:style>
  <w:style w:type="character" w:customStyle="1" w:styleId="27">
    <w:name w:val="页眉 Char"/>
    <w:link w:val="14"/>
    <w:qFormat/>
    <w:uiPriority w:val="0"/>
    <w:rPr>
      <w:rFonts w:ascii="Calibri" w:hAnsi="Calibri"/>
      <w:kern w:val="2"/>
      <w:sz w:val="18"/>
      <w:szCs w:val="18"/>
    </w:rPr>
  </w:style>
  <w:style w:type="character" w:customStyle="1" w:styleId="28">
    <w:name w:val="页脚 Char"/>
    <w:link w:val="13"/>
    <w:qFormat/>
    <w:uiPriority w:val="99"/>
    <w:rPr>
      <w:rFonts w:ascii="Calibri" w:hAnsi="Calibri"/>
      <w:kern w:val="2"/>
      <w:sz w:val="18"/>
      <w:szCs w:val="18"/>
    </w:rPr>
  </w:style>
  <w:style w:type="character" w:customStyle="1" w:styleId="29">
    <w:name w:val="标题 2 Char"/>
    <w:link w:val="5"/>
    <w:qFormat/>
    <w:uiPriority w:val="0"/>
    <w:rPr>
      <w:rFonts w:ascii="Times New Roman" w:hAnsi="Times New Roman" w:eastAsia="黑体"/>
      <w:kern w:val="2"/>
      <w:sz w:val="32"/>
      <w:szCs w:val="32"/>
    </w:rPr>
  </w:style>
  <w:style w:type="character" w:customStyle="1" w:styleId="30">
    <w:name w:val="标题 1 Char"/>
    <w:link w:val="3"/>
    <w:qFormat/>
    <w:uiPriority w:val="0"/>
    <w:rPr>
      <w:rFonts w:eastAsia="黑体"/>
      <w:kern w:val="2"/>
      <w:sz w:val="32"/>
      <w:szCs w:val="32"/>
    </w:rPr>
  </w:style>
  <w:style w:type="character" w:customStyle="1" w:styleId="31">
    <w:name w:val="文档结构图 Char"/>
    <w:basedOn w:val="21"/>
    <w:link w:val="7"/>
    <w:qFormat/>
    <w:uiPriority w:val="0"/>
    <w:rPr>
      <w:rFonts w:ascii="宋体" w:hAnsi="Calibri"/>
      <w:kern w:val="2"/>
      <w:sz w:val="18"/>
      <w:szCs w:val="18"/>
    </w:rPr>
  </w:style>
  <w:style w:type="paragraph" w:customStyle="1" w:styleId="32">
    <w:name w:val="Char1"/>
    <w:basedOn w:val="1"/>
    <w:qFormat/>
    <w:uiPriority w:val="0"/>
    <w:rPr>
      <w:rFonts w:ascii="Times New Roman" w:hAnsi="Times New Roman" w:cs="宋体"/>
      <w:szCs w:val="20"/>
    </w:rPr>
  </w:style>
  <w:style w:type="character" w:customStyle="1" w:styleId="33">
    <w:name w:val="标题 Char"/>
    <w:basedOn w:val="21"/>
    <w:link w:val="2"/>
    <w:qFormat/>
    <w:uiPriority w:val="0"/>
    <w:rPr>
      <w:rFonts w:ascii="Arial" w:hAnsi="Arial"/>
      <w:b/>
      <w:kern w:val="2"/>
      <w:sz w:val="32"/>
      <w:szCs w:val="24"/>
    </w:rPr>
  </w:style>
  <w:style w:type="character" w:customStyle="1" w:styleId="34">
    <w:name w:val="正文文本缩进 2 Char"/>
    <w:basedOn w:val="21"/>
    <w:link w:val="11"/>
    <w:qFormat/>
    <w:uiPriority w:val="99"/>
    <w:rPr>
      <w:rFonts w:asciiTheme="minorHAnsi" w:hAnsiTheme="minorHAnsi" w:eastAsiaTheme="minorEastAsia" w:cstheme="minorBidi"/>
      <w:kern w:val="2"/>
      <w:sz w:val="21"/>
      <w:szCs w:val="22"/>
    </w:rPr>
  </w:style>
  <w:style w:type="paragraph" w:customStyle="1" w:styleId="35">
    <w:name w:val="TOC 标题1"/>
    <w:basedOn w:val="3"/>
    <w:next w:val="1"/>
    <w:unhideWhenUsed/>
    <w:qFormat/>
    <w:uiPriority w:val="39"/>
    <w:pPr>
      <w:keepNext/>
      <w:keepLines/>
      <w:widowControl/>
      <w:numPr>
        <w:numId w:val="0"/>
      </w:numPr>
      <w:tabs>
        <w:tab w:val="clear" w:pos="8290"/>
      </w:tabs>
      <w:spacing w:before="240" w:line="259" w:lineRule="auto"/>
      <w:jc w:val="left"/>
      <w:outlineLvl w:val="9"/>
    </w:pPr>
    <w:rPr>
      <w:rFonts w:asciiTheme="majorHAnsi" w:hAnsiTheme="majorHAnsi" w:eastAsiaTheme="majorEastAsia" w:cstheme="majorBidi"/>
      <w:color w:val="366091" w:themeColor="accent1" w:themeShade="BF"/>
      <w:kern w:val="0"/>
    </w:rPr>
  </w:style>
  <w:style w:type="character" w:customStyle="1" w:styleId="36">
    <w:name w:val="批注框文本 Char"/>
    <w:basedOn w:val="21"/>
    <w:link w:val="12"/>
    <w:semiHidden/>
    <w:qFormat/>
    <w:uiPriority w:val="0"/>
    <w:rPr>
      <w:rFonts w:ascii="Calibri" w:hAnsi="Calibri"/>
      <w:kern w:val="2"/>
      <w:sz w:val="18"/>
      <w:szCs w:val="18"/>
    </w:rPr>
  </w:style>
  <w:style w:type="paragraph" w:styleId="37">
    <w:name w:val="List Paragraph"/>
    <w:basedOn w:val="1"/>
    <w:unhideWhenUsed/>
    <w:qFormat/>
    <w:uiPriority w:val="99"/>
    <w:pPr>
      <w:ind w:firstLine="420" w:firstLineChars="200"/>
    </w:pPr>
  </w:style>
  <w:style w:type="table" w:customStyle="1" w:styleId="38">
    <w:name w:val="网格型1"/>
    <w:basedOn w:val="19"/>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39">
    <w:name w:val="批注文字 Char"/>
    <w:basedOn w:val="21"/>
    <w:link w:val="8"/>
    <w:semiHidden/>
    <w:qFormat/>
    <w:uiPriority w:val="0"/>
    <w:rPr>
      <w:rFonts w:ascii="Calibri" w:hAnsi="Calibri"/>
      <w:kern w:val="2"/>
      <w:sz w:val="21"/>
      <w:szCs w:val="24"/>
    </w:rPr>
  </w:style>
  <w:style w:type="character" w:customStyle="1" w:styleId="40">
    <w:name w:val="批注主题 Char"/>
    <w:basedOn w:val="39"/>
    <w:link w:val="18"/>
    <w:semiHidden/>
    <w:qFormat/>
    <w:uiPriority w:val="0"/>
    <w:rPr>
      <w:rFonts w:ascii="Calibri" w:hAnsi="Calibri"/>
      <w:b/>
      <w:bCs/>
      <w:kern w:val="2"/>
      <w:sz w:val="21"/>
      <w:szCs w:val="24"/>
    </w:rPr>
  </w:style>
  <w:style w:type="paragraph" w:customStyle="1" w:styleId="41">
    <w:name w:val="Revision"/>
    <w:hidden/>
    <w:semiHidden/>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4097" textRotate="1"/>
    <customShpInfo spid="_x0000_s4098" textRotate="1"/>
    <customShpInfo spid="_x0000_s4099" textRotate="1"/>
    <customShpInfo spid="_x0000_s410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Company>
  <Pages>102</Pages>
  <Words>51297</Words>
  <Characters>52224</Characters>
  <Lines>398</Lines>
  <Paragraphs>112</Paragraphs>
  <TotalTime>22</TotalTime>
  <ScaleCrop>false</ScaleCrop>
  <LinksUpToDate>false</LinksUpToDate>
  <CharactersWithSpaces>52410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2021-01-15T02:55:00Z</dcterms:created>
  <dc:creator>Miggie</dc:creator>
  <cp:lastModifiedBy>云梦睡虎</cp:lastModifiedBy>
  <cp:lastPrinted>2021-07-12T05:54:00Z</cp:lastPrinted>
  <dcterms:modified xsi:type="dcterms:W3CDTF">2025-01-21T06:40:40Z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4B76BABD15FF4B7DB87092A8447D9FD1</vt:lpwstr>
  </property>
  <property fmtid="{D5CDD505-2E9C-101B-9397-08002B2CF9AE}" pid="4" name="KSOSaveFontToCloudKey">
    <vt:lpwstr>0_btnclosed</vt:lpwstr>
  </property>
  <property fmtid="{D5CDD505-2E9C-101B-9397-08002B2CF9AE}" pid="5" name="KSOTemplateDocerSaveRecord">
    <vt:lpwstr>eyJoZGlkIjoiYmYwNTM3YjE2MjRmOTgyZjYxOTY2YTE3MTUzZTlkZjIiLCJ1c2VySWQiOiI2ODMzOTY2MzQifQ==</vt:lpwstr>
  </property>
</Properties>
</file>