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0F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关于《桐城市中小企业过桥还贷资金管理暂行办法》的修订说明</w:t>
      </w:r>
    </w:p>
    <w:p w14:paraId="69057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</w:pPr>
    </w:p>
    <w:p w14:paraId="73BA6C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一、文件制定背景和依据</w:t>
      </w:r>
    </w:p>
    <w:p w14:paraId="5D0BA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近年来，我市中小微企业和“三农”主体在生产经营中普遍面临贷款到期续贷资金周转压力，《桐城市中小企业过桥还贷资金管理暂行办法》（桐政办发〔2017〕105号，以下简称《原办法》）在资金使</w:t>
      </w:r>
      <w:bookmarkStart w:id="0" w:name="_GoBack"/>
      <w:bookmarkEnd w:id="0"/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用效率、风险防控机制等方面已难以适应新形势需求。为贯彻落实国家关于金融服务实体经济、支持中小微企业发展的政策要求，进一步强化财政资金引导作用，提升续贷过桥资金使用效能。根据《中华人民共和国中小企业促进法》《安徽省中小企业促进条例》等文件精神，结合我市实际，现修订《桐城市中小企业过桥还贷资金管理暂行办法》。</w:t>
      </w:r>
    </w:p>
    <w:p w14:paraId="25203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二、会商情况</w:t>
      </w:r>
    </w:p>
    <w:p w14:paraId="7BEF3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市财政局会同桐城金融监管支局，在修订过程中充分吸纳《安徽省中小企业促进条例》等政策精神，借鉴东至、泗县、望江等地续贷过桥资金管理经验，先后多次征求兴财控股、合作银行等单位意见，召开专题协调会，重点围绕资金使用效率、风险分担机制、银行责任约束等核心条款进行论证，形成共识。修订后的《新办法》进一步压实兴财控股管理责任，细化银行风险共担条款，优化资金周转流程，强化财政全周期监管，确保政策可操作、风险可防控、效益可提升。</w:t>
      </w:r>
    </w:p>
    <w:p w14:paraId="133B2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三、主要内容</w:t>
      </w:r>
    </w:p>
    <w:p w14:paraId="44F895E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648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  <w:t>办法》共8章30条，包括总则、资金设立、资金使用、运营管理、风险控制、考核评价、监督检查和附则，现就《新办法》与《原办法》主要变化说明如下：</w:t>
      </w:r>
    </w:p>
    <w:p w14:paraId="7ABA4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管理机制优化</w:t>
      </w:r>
    </w:p>
    <w:p w14:paraId="22647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1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2"/>
          <w:sz w:val="32"/>
          <w:szCs w:val="32"/>
        </w:rPr>
        <w:t>调整管理主体，强化协同监管：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  <w:t>《原办法》由市财政局直接管理并监督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eastAsia="zh-CN"/>
        </w:rPr>
        <w:t>经办单位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  <w:t>，《新办法》委托兴财控股市场化运作，市财政局统筹监管，并引入桐城金融监管支局协同指导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eastAsia="zh-CN"/>
        </w:rPr>
        <w:t>。</w:t>
      </w:r>
    </w:p>
    <w:p w14:paraId="59AFF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（二）使用规则调整</w:t>
      </w:r>
    </w:p>
    <w:p w14:paraId="2C908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1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2"/>
          <w:sz w:val="32"/>
          <w:szCs w:val="32"/>
        </w:rPr>
        <w:t>延长使用期限：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  <w:t>《原办法》规定资金使用时间不超过7个工作日，《新办法》放宽至不超过10日，提升企业资金周转灵活性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2"/>
          <w:sz w:val="32"/>
          <w:szCs w:val="32"/>
        </w:rPr>
        <w:t>优化费率机制：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  <w:t>《原办法》统一执行一年期贷款基准利率，《新办法》区分自营与委托模式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2"/>
          <w:sz w:val="32"/>
          <w:szCs w:val="32"/>
        </w:rPr>
        <w:t>扩大覆盖范围：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  <w:t>《原办法》限定为实体经济企业，《新办法》新增个体工商户、小微企业主、涉农组织及非营利性法人，惠及更多市场主体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eastAsia="zh-CN"/>
        </w:rPr>
        <w:t>。</w:t>
      </w:r>
    </w:p>
    <w:p w14:paraId="55EB7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（三）风险防控强化</w:t>
      </w:r>
    </w:p>
    <w:p w14:paraId="34851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1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2"/>
          <w:sz w:val="32"/>
          <w:szCs w:val="32"/>
        </w:rPr>
        <w:t>新增风险预警与追偿机制：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  <w:t>设立风险敞口阈值（30%），风险敞口超过资金总额30%时暂停业务；明确违约金上限（LPR四倍），对骗取资金行为依法追责；要求合作银行开辟续贷绿色通道，因银行过失导致损失需承担清偿责任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2"/>
          <w:sz w:val="32"/>
          <w:szCs w:val="32"/>
        </w:rPr>
        <w:t>​</w:t>
      </w:r>
    </w:p>
    <w:p w14:paraId="5FE3F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（四）监管与考核升级</w:t>
      </w:r>
    </w:p>
    <w:p w14:paraId="54AD8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1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2"/>
          <w:sz w:val="32"/>
          <w:szCs w:val="32"/>
        </w:rPr>
        <w:t>动态监控与绩效挂钩：</w:t>
      </w:r>
      <w:r>
        <w:rPr>
          <w:rFonts w:hint="eastAsia" w:ascii="仿宋_GB2312" w:hAnsi="仿宋_GB2312" w:eastAsia="仿宋_GB2312" w:cs="仿宋_GB2312"/>
          <w:sz w:val="32"/>
          <w:szCs w:val="32"/>
        </w:rPr>
        <w:t>监管频次由按月报告调整为按季报送台账及风险分析；考核目标从月周转率升级为年度周转率，并纳入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对兴财控股的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绩效考核；新增银行合作资格取消机制，对违约银行暂停合作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5B70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（五）施行日期</w:t>
      </w:r>
    </w:p>
    <w:p w14:paraId="54E37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《新办法》自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印发之日</w:t>
      </w:r>
      <w:r>
        <w:rPr>
          <w:rFonts w:hint="eastAsia" w:ascii="仿宋_GB2312" w:hAnsi="仿宋_GB2312" w:eastAsia="仿宋_GB2312" w:cs="仿宋_GB2312"/>
          <w:sz w:val="32"/>
          <w:szCs w:val="32"/>
        </w:rPr>
        <w:t>起执行，《原办法》（桐政办发〔2017〕105号）同时废止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9F2C7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line="560" w:lineRule="exact"/>
        <w:ind w:firstLine="680" w:firstLineChars="200"/>
        <w:jc w:val="left"/>
        <w:textAlignment w:val="auto"/>
      </w:pPr>
      <w:r>
        <w:rPr>
          <w:rFonts w:ascii="黑体" w:hAnsi="宋体" w:eastAsia="黑体" w:cs="黑体"/>
          <w:color w:val="000000"/>
          <w:kern w:val="0"/>
          <w:sz w:val="34"/>
          <w:szCs w:val="34"/>
          <w:lang w:val="en-US" w:eastAsia="zh-CN" w:bidi="ar"/>
        </w:rPr>
        <w:t xml:space="preserve">四、其他需要说明的问题 </w:t>
      </w:r>
    </w:p>
    <w:p w14:paraId="0EDBC5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pacing w:line="560" w:lineRule="exact"/>
        <w:ind w:firstLine="680" w:firstLineChars="200"/>
        <w:jc w:val="left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4"/>
          <w:szCs w:val="34"/>
          <w:lang w:val="en-US" w:eastAsia="zh-CN" w:bidi="ar"/>
        </w:rPr>
        <w:t>无。</w:t>
      </w:r>
    </w:p>
    <w:p w14:paraId="1421E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97713"/>
    <w:rsid w:val="1ED12B09"/>
    <w:rsid w:val="47750F31"/>
    <w:rsid w:val="631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1076</Words>
  <Characters>1089</Characters>
  <Lines>0</Lines>
  <Paragraphs>0</Paragraphs>
  <TotalTime>12</TotalTime>
  <ScaleCrop>false</ScaleCrop>
  <LinksUpToDate>false</LinksUpToDate>
  <CharactersWithSpaces>1090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2025-03-06T07:58:00Z</dcterms:created>
  <dc:creator>Administrator</dc:creator>
  <cp:lastModifiedBy>赵腾</cp:lastModifiedBy>
  <dcterms:modified xsi:type="dcterms:W3CDTF">2025-03-17T01:56:35Z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eyJoZGlkIjoiYWFlYTZiY2E4NmFlY2FhNmE1NDUwODdhZmVkZDI4ZDUiLCJ1c2VySWQiOiI2OTQwODQ3MzkifQ==</vt:lpwstr>
  </property>
  <property fmtid="{D5CDD505-2E9C-101B-9397-08002B2CF9AE}" pid="4" name="ICV">
    <vt:lpwstr>74E85E1575714D4F8796AA04184DCA7D_13</vt:lpwstr>
  </property>
</Properties>
</file>