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4677">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Times New Roman" w:hAnsi="Times New Roman" w:eastAsia="方正小标宋简体" w:cs="方正小标宋简体"/>
          <w:w w:val="100"/>
          <w:sz w:val="44"/>
          <w:szCs w:val="44"/>
          <w:lang w:val="en-US" w:eastAsia="zh-CN"/>
        </w:rPr>
      </w:pPr>
      <w:r>
        <w:rPr>
          <w:rFonts w:hint="eastAsia" w:ascii="Times New Roman" w:hAnsi="Times New Roman" w:eastAsia="方正小标宋简体" w:cs="方正小标宋简体"/>
          <w:w w:val="100"/>
          <w:sz w:val="44"/>
          <w:szCs w:val="44"/>
          <w:lang w:val="en-US" w:eastAsia="zh-CN"/>
        </w:rPr>
        <w:t>关于进一步规范全市公共资源交易活动的</w:t>
      </w:r>
    </w:p>
    <w:p w14:paraId="190A190F">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Times New Roman" w:hAnsi="Times New Roman" w:eastAsia="方正小标宋简体" w:cs="方正小标宋简体"/>
          <w:w w:val="100"/>
          <w:sz w:val="44"/>
          <w:szCs w:val="44"/>
          <w:lang w:val="en-US" w:eastAsia="zh-CN"/>
        </w:rPr>
      </w:pPr>
      <w:r>
        <w:rPr>
          <w:rFonts w:hint="eastAsia" w:ascii="Times New Roman" w:hAnsi="Times New Roman" w:eastAsia="方正小标宋简体" w:cs="方正小标宋简体"/>
          <w:w w:val="100"/>
          <w:sz w:val="44"/>
          <w:szCs w:val="44"/>
          <w:lang w:val="en-US" w:eastAsia="zh-CN"/>
        </w:rPr>
        <w:t>实施意见</w:t>
      </w:r>
    </w:p>
    <w:p w14:paraId="2ED709D0">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Times New Roman" w:hAnsi="Times New Roman" w:eastAsia="方正小标宋简体" w:cs="方正小标宋简体"/>
          <w:w w:val="100"/>
          <w:sz w:val="32"/>
          <w:szCs w:val="32"/>
          <w:lang w:val="en-US" w:eastAsia="zh-CN"/>
        </w:rPr>
      </w:pPr>
      <w:r>
        <w:rPr>
          <w:rFonts w:hint="eastAsia" w:ascii="仿宋" w:hAnsi="仿宋" w:eastAsia="仿宋" w:cs="仿宋"/>
          <w:b w:val="0"/>
          <w:bCs w:val="0"/>
          <w:w w:val="100"/>
          <w:sz w:val="32"/>
          <w:szCs w:val="32"/>
          <w:lang w:val="en-US" w:eastAsia="zh-CN"/>
        </w:rPr>
        <w:t>（征求意见稿）</w:t>
      </w:r>
    </w:p>
    <w:p w14:paraId="20EBAAC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sz w:val="32"/>
          <w:szCs w:val="32"/>
        </w:rPr>
      </w:pPr>
    </w:p>
    <w:p w14:paraId="4DD98809">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val="en-US" w:eastAsia="zh-CN"/>
        </w:rPr>
        <w:t>加快构建公共资源交易全生命周期监管体系，提高国有资金使用效益，促进国有资产保值增值，重点规范小额公共资源交易行为，推动公共资源交易市场健康规范发展，</w:t>
      </w:r>
      <w:r>
        <w:rPr>
          <w:rFonts w:hint="eastAsia" w:ascii="Times New Roman" w:hAnsi="Times New Roman" w:eastAsia="仿宋_GB2312" w:cs="仿宋_GB2312"/>
          <w:sz w:val="32"/>
          <w:szCs w:val="32"/>
        </w:rPr>
        <w:t>根据</w:t>
      </w:r>
      <w:bookmarkStart w:id="0" w:name="_GoBack"/>
      <w:bookmarkEnd w:id="0"/>
      <w:r>
        <w:rPr>
          <w:rFonts w:hint="eastAsia" w:ascii="Times New Roman" w:hAnsi="Times New Roman" w:eastAsia="仿宋_GB2312" w:cs="仿宋_GB2312"/>
          <w:sz w:val="32"/>
          <w:szCs w:val="32"/>
        </w:rPr>
        <w:t>《中华人民共和国招标投标法》《中华人民共和国政府采购法》等法律法规，以及《国务院办公厅关于创新完善体制机制推动招标投标市场规范健康发展的意见》（国办发〔2024〕21号）</w:t>
      </w:r>
      <w:r>
        <w:rPr>
          <w:rFonts w:hint="eastAsia" w:ascii="Times New Roman" w:hAnsi="Times New Roman" w:eastAsia="仿宋_GB2312" w:cs="仿宋_GB2312"/>
          <w:sz w:val="32"/>
          <w:szCs w:val="32"/>
          <w:lang w:eastAsia="zh-CN"/>
        </w:rPr>
        <w:t>、《招标人主体责任履行指引》（发改法规〔2025〕1358号）</w:t>
      </w:r>
      <w:r>
        <w:rPr>
          <w:rFonts w:hint="eastAsia" w:ascii="Times New Roman" w:hAnsi="Times New Roman" w:eastAsia="仿宋_GB2312" w:cs="仿宋_GB2312"/>
          <w:sz w:val="32"/>
          <w:szCs w:val="32"/>
        </w:rPr>
        <w:t>等文件要求，</w:t>
      </w:r>
      <w:r>
        <w:rPr>
          <w:rFonts w:hint="eastAsia" w:ascii="Times New Roman" w:hAnsi="Times New Roman" w:eastAsia="仿宋_GB2312" w:cs="仿宋_GB2312"/>
          <w:sz w:val="32"/>
          <w:szCs w:val="32"/>
          <w:lang w:val="en-US" w:eastAsia="zh-CN"/>
        </w:rPr>
        <w:t>现就进一步规范全市公共资源交易活动提出如下</w:t>
      </w:r>
      <w:r>
        <w:rPr>
          <w:rFonts w:hint="eastAsia" w:ascii="Times New Roman" w:hAnsi="Times New Roman" w:eastAsia="仿宋_GB2312" w:cs="仿宋_GB2312"/>
          <w:sz w:val="32"/>
          <w:szCs w:val="32"/>
        </w:rPr>
        <w:t>实施意见</w:t>
      </w:r>
      <w:r>
        <w:rPr>
          <w:rFonts w:hint="eastAsia" w:ascii="Times New Roman" w:hAnsi="Times New Roman" w:eastAsia="仿宋_GB2312" w:cs="仿宋_GB2312"/>
          <w:sz w:val="32"/>
          <w:szCs w:val="32"/>
          <w:lang w:eastAsia="zh-CN"/>
        </w:rPr>
        <w:t>：</w:t>
      </w:r>
    </w:p>
    <w:p w14:paraId="1DF7045A">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i w:val="0"/>
          <w:iCs w:val="0"/>
          <w:sz w:val="32"/>
          <w:szCs w:val="32"/>
          <w:lang w:val="en-US" w:eastAsia="zh-CN"/>
        </w:rPr>
      </w:pPr>
      <w:r>
        <w:rPr>
          <w:rFonts w:hint="eastAsia" w:ascii="黑体" w:hAnsi="黑体" w:eastAsia="黑体" w:cs="黑体"/>
          <w:i w:val="0"/>
          <w:iCs w:val="0"/>
          <w:sz w:val="32"/>
          <w:szCs w:val="32"/>
          <w:lang w:val="en-US" w:eastAsia="zh-CN"/>
        </w:rPr>
        <w:t>一、</w:t>
      </w:r>
      <w:r>
        <w:rPr>
          <w:rFonts w:hint="eastAsia" w:ascii="黑体" w:hAnsi="黑体" w:eastAsia="黑体" w:cs="黑体"/>
          <w:i w:val="0"/>
          <w:iCs w:val="0"/>
          <w:sz w:val="32"/>
          <w:szCs w:val="32"/>
          <w:highlight w:val="none"/>
          <w:lang w:val="en-US" w:eastAsia="zh-CN"/>
        </w:rPr>
        <w:t>分类推进交易项目“应进必进”</w:t>
      </w:r>
    </w:p>
    <w:p w14:paraId="48D13B3D">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（一）公共资源交易坚持“应进必进”。</w:t>
      </w:r>
      <w:r>
        <w:rPr>
          <w:rFonts w:hint="eastAsia" w:ascii="Times New Roman" w:hAnsi="Times New Roman" w:eastAsia="仿宋_GB2312" w:cs="仿宋_GB2312"/>
          <w:sz w:val="32"/>
          <w:szCs w:val="32"/>
          <w:lang w:val="en-US" w:eastAsia="zh-CN"/>
        </w:rPr>
        <w:t>公共资源交易实行目录管理，严格执行《安徽省省级公共资源交易目录》《安徽省政府集中采购目录及标准》《安庆市公共资源交易目录》（以下简称《目录》），推动各类公共资源交易项目进平台。</w:t>
      </w:r>
      <w:r>
        <w:rPr>
          <w:rFonts w:hint="default" w:ascii="Times New Roman" w:hAnsi="Times New Roman" w:eastAsia="仿宋_GB2312" w:cs="仿宋_GB2312"/>
          <w:sz w:val="32"/>
          <w:szCs w:val="32"/>
          <w:lang w:val="en-US" w:eastAsia="zh-CN"/>
        </w:rPr>
        <w:t>列入</w:t>
      </w:r>
      <w:r>
        <w:rPr>
          <w:rFonts w:hint="eastAsia" w:ascii="Times New Roman" w:hAnsi="Times New Roman" w:eastAsia="仿宋_GB2312" w:cs="仿宋_GB2312"/>
          <w:sz w:val="32"/>
          <w:szCs w:val="32"/>
          <w:lang w:val="en-US" w:eastAsia="zh-CN"/>
        </w:rPr>
        <w:t>上述</w:t>
      </w:r>
      <w:r>
        <w:rPr>
          <w:rFonts w:hint="default" w:ascii="Times New Roman" w:hAnsi="Times New Roman" w:eastAsia="仿宋_GB2312" w:cs="仿宋_GB2312"/>
          <w:sz w:val="32"/>
          <w:szCs w:val="32"/>
          <w:lang w:val="en-US" w:eastAsia="zh-CN"/>
        </w:rPr>
        <w:t>目录</w:t>
      </w:r>
      <w:r>
        <w:rPr>
          <w:rFonts w:hint="eastAsia" w:ascii="Times New Roman" w:hAnsi="Times New Roman" w:eastAsia="仿宋_GB2312" w:cs="仿宋_GB2312"/>
          <w:sz w:val="32"/>
          <w:szCs w:val="32"/>
          <w:lang w:val="en-US" w:eastAsia="zh-CN"/>
        </w:rPr>
        <w:t>清单</w:t>
      </w:r>
      <w:r>
        <w:rPr>
          <w:rFonts w:hint="default" w:ascii="Times New Roman" w:hAnsi="Times New Roman" w:eastAsia="仿宋_GB2312" w:cs="仿宋_GB2312"/>
          <w:sz w:val="32"/>
          <w:szCs w:val="32"/>
          <w:lang w:val="en-US" w:eastAsia="zh-CN"/>
        </w:rPr>
        <w:t>的公共资源</w:t>
      </w:r>
      <w:r>
        <w:rPr>
          <w:rFonts w:hint="eastAsia" w:ascii="Times New Roman" w:hAnsi="Times New Roman" w:eastAsia="仿宋_GB2312" w:cs="仿宋_GB2312"/>
          <w:sz w:val="32"/>
          <w:szCs w:val="32"/>
          <w:lang w:val="en-US" w:eastAsia="zh-CN"/>
        </w:rPr>
        <w:t>交易项目（以下简称“进场项目”）</w:t>
      </w:r>
      <w:r>
        <w:rPr>
          <w:rFonts w:hint="default" w:ascii="Times New Roman" w:hAnsi="Times New Roman" w:eastAsia="仿宋_GB2312" w:cs="仿宋_GB2312"/>
          <w:sz w:val="32"/>
          <w:szCs w:val="32"/>
          <w:lang w:val="en-US" w:eastAsia="zh-CN"/>
        </w:rPr>
        <w:t>应当进入</w:t>
      </w:r>
      <w:r>
        <w:rPr>
          <w:rFonts w:hint="eastAsia" w:ascii="Times New Roman" w:hAnsi="Times New Roman" w:eastAsia="仿宋_GB2312" w:cs="仿宋_GB2312"/>
          <w:sz w:val="32"/>
          <w:szCs w:val="32"/>
          <w:lang w:val="en-US" w:eastAsia="zh-CN"/>
        </w:rPr>
        <w:t>市公共资源</w:t>
      </w:r>
      <w:r>
        <w:rPr>
          <w:rFonts w:hint="default" w:ascii="Times New Roman" w:hAnsi="Times New Roman" w:eastAsia="仿宋_GB2312" w:cs="仿宋_GB2312"/>
          <w:sz w:val="32"/>
          <w:szCs w:val="32"/>
          <w:lang w:val="en-US" w:eastAsia="zh-CN"/>
        </w:rPr>
        <w:t>交易中心</w:t>
      </w:r>
      <w:r>
        <w:rPr>
          <w:rFonts w:hint="eastAsia" w:ascii="Times New Roman" w:hAnsi="Times New Roman" w:eastAsia="仿宋_GB2312" w:cs="仿宋_GB2312"/>
          <w:sz w:val="32"/>
          <w:szCs w:val="32"/>
          <w:lang w:val="en-US" w:eastAsia="zh-CN"/>
        </w:rPr>
        <w:t>（以下简称“交易中心”），</w:t>
      </w:r>
      <w:r>
        <w:rPr>
          <w:rFonts w:hint="default" w:ascii="Times New Roman" w:hAnsi="Times New Roman" w:eastAsia="仿宋_GB2312" w:cs="仿宋_GB2312"/>
          <w:sz w:val="32"/>
          <w:szCs w:val="32"/>
          <w:lang w:val="en-US" w:eastAsia="zh-CN"/>
        </w:rPr>
        <w:t>采用招标、拍卖、竞价、</w:t>
      </w:r>
      <w:r>
        <w:rPr>
          <w:rFonts w:hint="eastAsia" w:ascii="Times New Roman" w:hAnsi="Times New Roman" w:eastAsia="仿宋_GB2312" w:cs="仿宋_GB2312"/>
          <w:sz w:val="32"/>
          <w:szCs w:val="32"/>
          <w:lang w:val="en-US" w:eastAsia="zh-CN"/>
        </w:rPr>
        <w:t>挂牌、</w:t>
      </w:r>
      <w:r>
        <w:rPr>
          <w:rFonts w:hint="default" w:ascii="Times New Roman" w:hAnsi="Times New Roman" w:eastAsia="仿宋_GB2312" w:cs="仿宋_GB2312"/>
          <w:sz w:val="32"/>
          <w:szCs w:val="32"/>
          <w:lang w:val="en-US" w:eastAsia="zh-CN"/>
        </w:rPr>
        <w:t>竞争性谈判、竞争性磋商、询价、单一来源采购</w:t>
      </w:r>
      <w:r>
        <w:rPr>
          <w:rFonts w:hint="eastAsia" w:ascii="Times New Roman" w:hAnsi="Times New Roman" w:eastAsia="仿宋_GB2312" w:cs="仿宋_GB2312"/>
          <w:sz w:val="32"/>
          <w:szCs w:val="32"/>
          <w:lang w:val="en-US" w:eastAsia="zh-CN"/>
        </w:rPr>
        <w:t>、框架协议采购</w:t>
      </w:r>
      <w:r>
        <w:rPr>
          <w:rFonts w:hint="default"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lang w:val="en-US" w:eastAsia="zh-CN"/>
        </w:rPr>
        <w:t>法律、法规、规章规定的</w:t>
      </w:r>
      <w:r>
        <w:rPr>
          <w:rFonts w:hint="default" w:ascii="Times New Roman" w:hAnsi="Times New Roman" w:eastAsia="仿宋_GB2312" w:cs="仿宋_GB2312"/>
          <w:sz w:val="32"/>
          <w:szCs w:val="32"/>
          <w:lang w:val="en-US" w:eastAsia="zh-CN"/>
        </w:rPr>
        <w:t>方式</w:t>
      </w:r>
      <w:r>
        <w:rPr>
          <w:rFonts w:hint="eastAsia" w:ascii="Times New Roman" w:hAnsi="Times New Roman" w:eastAsia="仿宋_GB2312" w:cs="仿宋_GB2312"/>
          <w:sz w:val="32"/>
          <w:szCs w:val="32"/>
          <w:lang w:val="en-US" w:eastAsia="zh-CN"/>
        </w:rPr>
        <w:t>开展交易活动</w:t>
      </w:r>
      <w:r>
        <w:rPr>
          <w:rFonts w:hint="default" w:ascii="Times New Roman" w:hAnsi="Times New Roman" w:eastAsia="仿宋_GB2312" w:cs="仿宋_GB2312"/>
          <w:sz w:val="32"/>
          <w:szCs w:val="32"/>
          <w:lang w:val="en-US" w:eastAsia="zh-CN"/>
        </w:rPr>
        <w:t>。</w:t>
      </w:r>
    </w:p>
    <w:p w14:paraId="3D2FB658">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（二）全面规范小额项目交易，鼓励“能进则进”。</w:t>
      </w:r>
      <w:r>
        <w:rPr>
          <w:rFonts w:hint="eastAsia" w:ascii="Times New Roman" w:hAnsi="Times New Roman" w:eastAsia="仿宋_GB2312" w:cs="仿宋_GB2312"/>
          <w:sz w:val="32"/>
          <w:szCs w:val="32"/>
          <w:lang w:val="en-US" w:eastAsia="zh-CN"/>
        </w:rPr>
        <w:t>推动《目录》以外或分散采购限额（招标规模）以下项目（简称“小额项目”）进入桐城市阳光交易平台（简称“阳光交易平台”），按全链条电子化交易管理流程开展交易活动。</w:t>
      </w:r>
      <w:r>
        <w:rPr>
          <w:rFonts w:hint="eastAsia" w:ascii="Times New Roman" w:hAnsi="Times New Roman" w:eastAsia="仿宋_GB2312" w:cs="仿宋_GB2312"/>
          <w:b w:val="0"/>
          <w:bCs w:val="0"/>
          <w:sz w:val="32"/>
          <w:szCs w:val="32"/>
          <w:highlight w:val="none"/>
          <w:lang w:val="en-US" w:eastAsia="zh-CN"/>
        </w:rPr>
        <w:t>交易范围包括</w:t>
      </w:r>
      <w:r>
        <w:rPr>
          <w:rFonts w:hint="eastAsia" w:ascii="Times New Roman" w:hAnsi="Times New Roman" w:eastAsia="仿宋_GB2312" w:cs="仿宋_GB2312"/>
          <w:sz w:val="32"/>
          <w:szCs w:val="32"/>
          <w:highlight w:val="none"/>
          <w:lang w:val="en-US" w:eastAsia="zh-CN"/>
        </w:rPr>
        <w:t>各镇（街道）</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市直各单位、市属国有企业及其下属单位组织开展的各类小额项目，交易类型覆盖工程、货物、服务、产权等。</w:t>
      </w:r>
    </w:p>
    <w:p w14:paraId="5BB9C3DF">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单项或年度批量预算金额、单项合同估算价</w:t>
      </w:r>
      <w:r>
        <w:rPr>
          <w:rFonts w:hint="eastAsia" w:ascii="Times New Roman" w:hAnsi="Times New Roman" w:eastAsia="仿宋_GB2312" w:cs="仿宋_GB2312"/>
          <w:b w:val="0"/>
          <w:bCs w:val="0"/>
          <w:color w:val="auto"/>
          <w:sz w:val="32"/>
          <w:szCs w:val="32"/>
          <w:highlight w:val="none"/>
          <w:lang w:val="en-US" w:eastAsia="zh-CN"/>
        </w:rPr>
        <w:t>10万元及以上的工程施工类、5万元及以上的货物和服务类小额项目，单宗评估值小于5万元的农村集体产权类小额项目，鼓励进入“阳光交易平台”开展交易；10万元以下的工程施工类、5万元以下的货物和服务类小额项目，由各单位根据内控管理制度自行组</w:t>
      </w:r>
      <w:r>
        <w:rPr>
          <w:rFonts w:hint="eastAsia" w:ascii="Times New Roman" w:hAnsi="Times New Roman" w:eastAsia="仿宋_GB2312" w:cs="仿宋_GB2312"/>
          <w:sz w:val="32"/>
          <w:szCs w:val="32"/>
          <w:highlight w:val="none"/>
          <w:lang w:val="en-US" w:eastAsia="zh-CN"/>
        </w:rPr>
        <w:t>织交易，也可进入</w:t>
      </w:r>
      <w:r>
        <w:rPr>
          <w:rFonts w:hint="eastAsia" w:ascii="Times New Roman" w:hAnsi="Times New Roman" w:eastAsia="仿宋_GB2312" w:cs="仿宋_GB2312"/>
          <w:b w:val="0"/>
          <w:bCs w:val="0"/>
          <w:sz w:val="32"/>
          <w:szCs w:val="32"/>
          <w:highlight w:val="none"/>
          <w:lang w:val="en-US" w:eastAsia="zh-CN"/>
        </w:rPr>
        <w:t>“阳光交易平台”</w:t>
      </w:r>
      <w:r>
        <w:rPr>
          <w:rFonts w:hint="eastAsia" w:ascii="Times New Roman" w:hAnsi="Times New Roman" w:eastAsia="仿宋_GB2312" w:cs="仿宋_GB2312"/>
          <w:sz w:val="32"/>
          <w:szCs w:val="32"/>
          <w:highlight w:val="none"/>
          <w:lang w:val="en-US" w:eastAsia="zh-CN"/>
        </w:rPr>
        <w:t>开展交易；适宜“徽采云”电子卖场的采购项目，按财政部门有关规定执行；涉及应急、抢险、救灾、国家安全和秘密等特殊交易项目按国家有关规定执行。</w:t>
      </w:r>
    </w:p>
    <w:p w14:paraId="7346A56D">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sz w:val="32"/>
          <w:szCs w:val="32"/>
          <w:highlight w:val="none"/>
          <w:lang w:val="en-US" w:eastAsia="zh-CN"/>
        </w:rPr>
        <w:t>小额项目交易内容、交易范围以目录形式进行明确，小额公共资源交易目录由交易中心会同有关部门制定，并实行动态管理。</w:t>
      </w:r>
    </w:p>
    <w:p w14:paraId="570671C4">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二、强化招标人主体责任</w:t>
      </w:r>
    </w:p>
    <w:p w14:paraId="4D337925">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（三）强化招标人主体地位。</w:t>
      </w:r>
      <w:r>
        <w:rPr>
          <w:rFonts w:hint="eastAsia" w:ascii="Times New Roman" w:hAnsi="Times New Roman" w:eastAsia="仿宋_GB2312" w:cs="仿宋_GB2312"/>
          <w:sz w:val="32"/>
          <w:szCs w:val="32"/>
          <w:lang w:val="en-US" w:eastAsia="zh-CN"/>
        </w:rPr>
        <w:t>招标人、采购人、发包人（以下称“招标人”）作为项目建设第一责任主体，应加强内部控制建设，建立招标事项研究决策、合规审查、监督纠错、绩效评价、风险防控等管理机制，严格执行招标投标事项过问打探、插手干预登记报告制度，保障主体责任落实。招标人对招标投标活动的科学性、合法性、廉洁性负主体责任，对项目建设全生命周期管理负总责。</w:t>
      </w:r>
    </w:p>
    <w:p w14:paraId="304FDC34">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highlight w:val="none"/>
          <w:lang w:val="en-US" w:eastAsia="zh-CN"/>
        </w:rPr>
        <w:t>严格执行强制招标采购制度。</w:t>
      </w:r>
      <w:r>
        <w:rPr>
          <w:rFonts w:hint="eastAsia" w:ascii="Times New Roman" w:hAnsi="Times New Roman" w:eastAsia="仿宋_GB2312" w:cs="仿宋_GB2312"/>
          <w:b w:val="0"/>
          <w:bCs w:val="0"/>
          <w:sz w:val="32"/>
          <w:szCs w:val="32"/>
          <w:highlight w:val="none"/>
          <w:lang w:val="en-US" w:eastAsia="zh-CN"/>
        </w:rPr>
        <w:t>依法必须招标项目拟不进行招标的、依法应当公开招标的项目拟邀请招标的，必须符合法律法规规定情形并履行规定审批程序。招标人不得以支解发包、化整为零、招小送大、设定不合理的暂估价或通过虚构涉密、应急项目等形式规避招标，严禁搞“明招暗定”、“先建后招”等虚假招标行为。招标人不得设置各类不合理条件排斥限制民营企业、外资、外地企业、中小企业参与招标投标活动。</w:t>
      </w:r>
    </w:p>
    <w:p w14:paraId="3C59BD49">
      <w:pPr>
        <w:keepNext w:val="0"/>
        <w:keepLines w:val="0"/>
        <w:pageBreakBefore w:val="0"/>
        <w:widowControl w:val="0"/>
        <w:kinsoku/>
        <w:wordWrap/>
        <w:overflowPunct/>
        <w:topLinePunct w:val="0"/>
        <w:autoSpaceDE/>
        <w:autoSpaceDN/>
        <w:bidi w:val="0"/>
        <w:adjustRightInd/>
        <w:snapToGrid/>
        <w:spacing w:afterAutospacing="0" w:line="588"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（五）抓实招标投标重点工作。</w:t>
      </w:r>
      <w:r>
        <w:rPr>
          <w:rFonts w:hint="eastAsia" w:ascii="Times New Roman" w:hAnsi="Times New Roman" w:eastAsia="仿宋_GB2312" w:cs="仿宋_GB2312"/>
          <w:sz w:val="32"/>
          <w:szCs w:val="32"/>
          <w:lang w:val="en-US" w:eastAsia="zh-CN"/>
        </w:rPr>
        <w:t>招标人要根据标准示范文本，高质量编制招标文件，履行合规审查；要落实招标计划提前发布机制，对于涉及公共利益、社会关注度较高的项目，鼓励提前公示招标文件征求意见；要对委托的招标代理机构开展业务进行全过程监督；要通过市场调研、咨询论证等方式，明确招标需求，科学策划招标方案；要落实招标采购人代表参与评标评审制度规则；要开展中标结果公平性自查，在公示中标候选人前，认真审查评标报告，确认存在问题的，依法依规予以纠正；要加强招标投标资料管理，保存期限不少于15年。</w:t>
      </w:r>
    </w:p>
    <w:p w14:paraId="73D792FB">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三、提升数智效能与交易质效</w:t>
      </w:r>
    </w:p>
    <w:p w14:paraId="10B1BDA3">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加强</w:t>
      </w:r>
      <w:r>
        <w:rPr>
          <w:rFonts w:hint="eastAsia" w:ascii="楷体_GB2312" w:hAnsi="楷体_GB2312" w:eastAsia="楷体_GB2312" w:cs="楷体_GB2312"/>
          <w:b/>
          <w:bCs/>
          <w:sz w:val="32"/>
          <w:szCs w:val="32"/>
          <w:lang w:val="en-US" w:eastAsia="zh-CN"/>
        </w:rPr>
        <w:t>交易</w:t>
      </w:r>
      <w:r>
        <w:rPr>
          <w:rFonts w:hint="default" w:ascii="楷体_GB2312" w:hAnsi="楷体_GB2312" w:eastAsia="楷体_GB2312" w:cs="楷体_GB2312"/>
          <w:b/>
          <w:bCs/>
          <w:sz w:val="32"/>
          <w:szCs w:val="32"/>
          <w:lang w:val="en-US" w:eastAsia="zh-CN"/>
        </w:rPr>
        <w:t>过程管理。</w:t>
      </w:r>
      <w:r>
        <w:rPr>
          <w:rFonts w:hint="default" w:ascii="Times New Roman" w:hAnsi="Times New Roman" w:eastAsia="仿宋_GB2312" w:cs="仿宋_GB2312"/>
          <w:sz w:val="32"/>
          <w:szCs w:val="32"/>
          <w:lang w:val="en-US" w:eastAsia="zh-CN"/>
        </w:rPr>
        <w:t>招标</w:t>
      </w:r>
      <w:r>
        <w:rPr>
          <w:rFonts w:hint="eastAsia" w:ascii="Times New Roman" w:hAnsi="Times New Roman" w:eastAsia="仿宋_GB2312" w:cs="仿宋_GB2312"/>
          <w:sz w:val="32"/>
          <w:szCs w:val="32"/>
          <w:lang w:val="en-US" w:eastAsia="zh-CN"/>
        </w:rPr>
        <w:t>文件要</w:t>
      </w:r>
      <w:r>
        <w:rPr>
          <w:rFonts w:hint="default" w:ascii="Times New Roman" w:hAnsi="Times New Roman" w:eastAsia="仿宋_GB2312" w:cs="仿宋_GB2312"/>
          <w:sz w:val="32"/>
          <w:szCs w:val="32"/>
          <w:lang w:val="en-US" w:eastAsia="zh-CN"/>
        </w:rPr>
        <w:t>综合考虑项目的技术、质量、安全等因素和项目建设、使用、维护、拆除、更新等全周期综合成本，科学选择评标方法</w:t>
      </w:r>
      <w:r>
        <w:rPr>
          <w:rFonts w:hint="eastAsia" w:ascii="Times New Roman" w:hAnsi="Times New Roman" w:eastAsia="仿宋_GB2312" w:cs="仿宋_GB2312"/>
          <w:sz w:val="32"/>
          <w:szCs w:val="32"/>
          <w:lang w:val="en-US" w:eastAsia="zh-CN"/>
        </w:rPr>
        <w:t>；监管部门要依法</w:t>
      </w:r>
      <w:r>
        <w:rPr>
          <w:rFonts w:hint="default" w:ascii="Times New Roman" w:hAnsi="Times New Roman" w:eastAsia="仿宋_GB2312" w:cs="仿宋_GB2312"/>
          <w:sz w:val="32"/>
          <w:szCs w:val="32"/>
          <w:lang w:val="en-US" w:eastAsia="zh-CN"/>
        </w:rPr>
        <w:t>加强</w:t>
      </w:r>
      <w:r>
        <w:rPr>
          <w:rFonts w:hint="eastAsia" w:ascii="Times New Roman" w:hAnsi="Times New Roman" w:eastAsia="仿宋_GB2312" w:cs="仿宋_GB2312"/>
          <w:sz w:val="32"/>
          <w:szCs w:val="32"/>
          <w:lang w:val="en-US" w:eastAsia="zh-CN"/>
        </w:rPr>
        <w:t>对</w:t>
      </w:r>
      <w:r>
        <w:rPr>
          <w:rFonts w:hint="default" w:ascii="Times New Roman" w:hAnsi="Times New Roman" w:eastAsia="仿宋_GB2312" w:cs="仿宋_GB2312"/>
          <w:sz w:val="32"/>
          <w:szCs w:val="32"/>
          <w:lang w:val="en-US" w:eastAsia="zh-CN"/>
        </w:rPr>
        <w:t>代理机构</w:t>
      </w:r>
      <w:r>
        <w:rPr>
          <w:rFonts w:hint="eastAsia" w:ascii="Times New Roman" w:hAnsi="Times New Roman" w:eastAsia="仿宋_GB2312" w:cs="仿宋_GB2312"/>
          <w:sz w:val="32"/>
          <w:szCs w:val="32"/>
          <w:lang w:val="en-US" w:eastAsia="zh-CN"/>
        </w:rPr>
        <w:t>动态管理和监督检查，推进《工程建设项目招标代理机构管理暂行办法》、《政府采购代理机构管理暂行办法》（财库〔2018〕2号）落实；要</w:t>
      </w:r>
      <w:r>
        <w:rPr>
          <w:rFonts w:hint="default" w:ascii="Times New Roman" w:hAnsi="Times New Roman" w:eastAsia="仿宋_GB2312" w:cs="仿宋_GB2312"/>
          <w:sz w:val="32"/>
          <w:szCs w:val="32"/>
          <w:lang w:val="en-US" w:eastAsia="zh-CN"/>
        </w:rPr>
        <w:t>推行评标情况向社会公开、投标文件被否决原因向投标人公开，</w:t>
      </w:r>
      <w:r>
        <w:rPr>
          <w:rFonts w:hint="eastAsia" w:ascii="Times New Roman" w:hAnsi="Times New Roman" w:eastAsia="仿宋_GB2312" w:cs="仿宋_GB2312"/>
          <w:sz w:val="32"/>
          <w:szCs w:val="32"/>
          <w:lang w:val="en-US" w:eastAsia="zh-CN"/>
        </w:rPr>
        <w:t>运用</w:t>
      </w:r>
      <w:r>
        <w:rPr>
          <w:rFonts w:hint="default" w:ascii="Times New Roman" w:hAnsi="Times New Roman" w:eastAsia="仿宋_GB2312" w:cs="仿宋_GB2312"/>
          <w:sz w:val="32"/>
          <w:szCs w:val="32"/>
          <w:lang w:val="en-US" w:eastAsia="zh-CN"/>
        </w:rPr>
        <w:t>评标评审行为分析和预警系统，强化</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专家管理，</w:t>
      </w:r>
      <w:r>
        <w:rPr>
          <w:rFonts w:hint="eastAsia" w:ascii="Times New Roman" w:hAnsi="Times New Roman" w:eastAsia="仿宋_GB2312" w:cs="仿宋_GB2312"/>
          <w:sz w:val="32"/>
          <w:szCs w:val="32"/>
          <w:lang w:val="en-US" w:eastAsia="zh-CN"/>
        </w:rPr>
        <w:t>不定期通报</w:t>
      </w:r>
      <w:r>
        <w:rPr>
          <w:rFonts w:hint="default" w:ascii="Times New Roman" w:hAnsi="Times New Roman" w:eastAsia="仿宋_GB2312" w:cs="仿宋_GB2312"/>
          <w:sz w:val="32"/>
          <w:szCs w:val="32"/>
          <w:lang w:val="en-US" w:eastAsia="zh-CN"/>
        </w:rPr>
        <w:t>曝光评标专家不良行为</w:t>
      </w:r>
      <w:r>
        <w:rPr>
          <w:rFonts w:hint="eastAsia" w:ascii="Times New Roman" w:hAnsi="Times New Roman" w:eastAsia="仿宋_GB2312" w:cs="仿宋_GB2312"/>
          <w:sz w:val="32"/>
          <w:szCs w:val="32"/>
          <w:lang w:val="en-US" w:eastAsia="zh-CN"/>
        </w:rPr>
        <w:t>；常态化推进省内“双盲”远程异地评标，开展跨省远程异地评标</w:t>
      </w:r>
      <w:r>
        <w:rPr>
          <w:rFonts w:hint="eastAsia" w:ascii="Times New Roman" w:hAnsi="Times New Roman" w:eastAsia="仿宋_GB2312" w:cs="仿宋_GB2312"/>
          <w:sz w:val="32"/>
          <w:szCs w:val="32"/>
          <w:highlight w:val="none"/>
          <w:lang w:val="en-US" w:eastAsia="zh-CN"/>
        </w:rPr>
        <w:t>；严格执行公共资源交易保密制度，交易各方主体不得违规泄露交易信息。</w:t>
      </w:r>
    </w:p>
    <w:p w14:paraId="5D8EB5B0">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（七）提升数智化水平。</w:t>
      </w:r>
      <w:r>
        <w:rPr>
          <w:rFonts w:hint="eastAsia" w:ascii="Times New Roman" w:hAnsi="Times New Roman" w:eastAsia="仿宋_GB2312" w:cs="仿宋_GB2312"/>
          <w:sz w:val="32"/>
          <w:szCs w:val="32"/>
          <w:lang w:val="en-US" w:eastAsia="zh-CN"/>
        </w:rPr>
        <w:t>推进公共资源交易全生命周期智慧管理平台（以下简称“智慧公管平台”）建设，实施公共资源交易项目从立项到标后履约、验收、资金支付的全生命周期管理。打破部门间信息壁垒，为公共资源交易综合管理、行业监管、审计监督与纪检监察监督提供数字化支撑；构建动态监测预警系统，实时预警排查异常行为，跟踪处置问题线索；加强跨部门跨行业数据共享，推动行业平台系统与“智慧公管平台”对接，提高数据利用质效；推进人工智能在智慧问答、辅助评标、招投标文件合规质检等更多场景探索应用。</w:t>
      </w:r>
    </w:p>
    <w:p w14:paraId="41AFB9C1">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四、构建全链条闭环监管体系</w:t>
      </w:r>
    </w:p>
    <w:p w14:paraId="00021B5D">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highlight w:val="none"/>
          <w:lang w:val="en-US" w:eastAsia="zh-CN"/>
        </w:rPr>
        <w:t>（八）建立健全小额项目监管机制。</w:t>
      </w:r>
      <w:r>
        <w:rPr>
          <w:rFonts w:hint="eastAsia" w:ascii="Times New Roman" w:hAnsi="Times New Roman" w:eastAsia="仿宋_GB2312" w:cs="仿宋_GB2312"/>
          <w:sz w:val="32"/>
          <w:szCs w:val="32"/>
          <w:highlight w:val="none"/>
          <w:lang w:val="en-US" w:eastAsia="zh-CN"/>
        </w:rPr>
        <w:t>招标人</w:t>
      </w:r>
      <w:r>
        <w:rPr>
          <w:rFonts w:hint="default" w:ascii="Times New Roman" w:hAnsi="Times New Roman" w:eastAsia="仿宋_GB2312" w:cs="仿宋_GB2312"/>
          <w:sz w:val="32"/>
          <w:szCs w:val="32"/>
          <w:highlight w:val="none"/>
          <w:lang w:val="en-US" w:eastAsia="zh-CN"/>
        </w:rPr>
        <w:t>是小额项目的责任主体，应加强对小额项目规范管理的组织领导</w:t>
      </w:r>
      <w:r>
        <w:rPr>
          <w:rFonts w:hint="eastAsia" w:ascii="Times New Roman" w:hAnsi="Times New Roman" w:eastAsia="仿宋_GB2312" w:cs="仿宋_GB2312"/>
          <w:sz w:val="32"/>
          <w:szCs w:val="32"/>
          <w:highlight w:val="none"/>
          <w:lang w:val="en-US" w:eastAsia="zh-CN"/>
        </w:rPr>
        <w:t>，</w:t>
      </w:r>
      <w:r>
        <w:rPr>
          <w:rFonts w:hint="default" w:ascii="Times New Roman" w:hAnsi="Times New Roman" w:eastAsia="仿宋_GB2312" w:cs="仿宋_GB2312"/>
          <w:sz w:val="32"/>
          <w:szCs w:val="32"/>
          <w:highlight w:val="none"/>
          <w:lang w:val="en-US" w:eastAsia="zh-CN"/>
        </w:rPr>
        <w:t>研</w:t>
      </w:r>
      <w:r>
        <w:rPr>
          <w:rFonts w:hint="default" w:ascii="Times New Roman" w:hAnsi="Times New Roman" w:eastAsia="仿宋_GB2312" w:cs="仿宋_GB2312"/>
          <w:sz w:val="32"/>
          <w:szCs w:val="32"/>
          <w:lang w:val="en-US" w:eastAsia="zh-CN"/>
        </w:rPr>
        <w:t>究制定职能管辖范围内小额项目内控管理制度，明确小额项目实施、管理和监督职责，牵头处理异议</w:t>
      </w:r>
      <w:r>
        <w:rPr>
          <w:rFonts w:hint="default" w:ascii="Times New Roman" w:hAnsi="Times New Roman" w:eastAsia="仿宋_GB2312" w:cs="仿宋_GB2312"/>
          <w:sz w:val="32"/>
          <w:szCs w:val="32"/>
          <w:highlight w:val="none"/>
          <w:lang w:val="en-US" w:eastAsia="zh-CN"/>
        </w:rPr>
        <w:t>、投诉</w:t>
      </w:r>
      <w:r>
        <w:rPr>
          <w:rFonts w:hint="eastAsia" w:ascii="Times New Roman" w:hAnsi="Times New Roman" w:eastAsia="仿宋_GB2312" w:cs="仿宋_GB2312"/>
          <w:sz w:val="32"/>
          <w:szCs w:val="32"/>
          <w:highlight w:val="none"/>
          <w:lang w:val="en-US" w:eastAsia="zh-CN"/>
        </w:rPr>
        <w:t>（争议纠纷）</w:t>
      </w:r>
      <w:r>
        <w:rPr>
          <w:rFonts w:hint="default" w:ascii="Times New Roman" w:hAnsi="Times New Roman" w:eastAsia="仿宋_GB2312" w:cs="仿宋_GB2312"/>
          <w:sz w:val="32"/>
          <w:szCs w:val="32"/>
          <w:highlight w:val="none"/>
          <w:lang w:val="en-US" w:eastAsia="zh-CN"/>
        </w:rPr>
        <w:t>、信访、举报</w:t>
      </w:r>
      <w:r>
        <w:rPr>
          <w:rFonts w:hint="default" w:ascii="Times New Roman" w:hAnsi="Times New Roman" w:eastAsia="仿宋_GB2312" w:cs="仿宋_GB2312"/>
          <w:sz w:val="32"/>
          <w:szCs w:val="32"/>
          <w:lang w:val="en-US" w:eastAsia="zh-CN"/>
        </w:rPr>
        <w:t>，配合有关部门开展督查检查，</w:t>
      </w:r>
      <w:r>
        <w:rPr>
          <w:rFonts w:hint="eastAsia" w:ascii="Times New Roman" w:hAnsi="Times New Roman" w:eastAsia="仿宋_GB2312" w:cs="仿宋_GB2312"/>
          <w:sz w:val="32"/>
          <w:szCs w:val="32"/>
          <w:lang w:val="en-US" w:eastAsia="zh-CN"/>
        </w:rPr>
        <w:t>协助</w:t>
      </w:r>
      <w:r>
        <w:rPr>
          <w:rFonts w:hint="default" w:ascii="Times New Roman" w:hAnsi="Times New Roman" w:eastAsia="仿宋_GB2312" w:cs="仿宋_GB2312"/>
          <w:sz w:val="32"/>
          <w:szCs w:val="32"/>
          <w:lang w:val="en-US" w:eastAsia="zh-CN"/>
        </w:rPr>
        <w:t>有关部门对交易活动中的违规、违纪、违法行为进行调查处理。</w:t>
      </w:r>
    </w:p>
    <w:p w14:paraId="75B0E4A2">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市直各单位、市属国有企业负责本级及下属单位小额项目的全过程监管。各镇（街道）落实属地监督职责，负责本级及管辖范围内村（居）小额项目的全过程监管。财政部门</w:t>
      </w:r>
      <w:r>
        <w:rPr>
          <w:rFonts w:hint="default" w:ascii="Times New Roman" w:hAnsi="Times New Roman" w:eastAsia="仿宋_GB2312" w:cs="仿宋_GB2312"/>
          <w:sz w:val="32"/>
          <w:szCs w:val="32"/>
          <w:lang w:val="en-US" w:eastAsia="zh-CN"/>
        </w:rPr>
        <w:t>对各单位健全内控机制进行指导</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农业农村</w:t>
      </w:r>
      <w:r>
        <w:rPr>
          <w:rFonts w:hint="eastAsia" w:ascii="Times New Roman" w:hAnsi="Times New Roman" w:eastAsia="仿宋_GB2312" w:cs="仿宋_GB2312"/>
          <w:sz w:val="32"/>
          <w:szCs w:val="32"/>
          <w:lang w:val="en-US" w:eastAsia="zh-CN"/>
        </w:rPr>
        <w:t>部门</w:t>
      </w:r>
      <w:r>
        <w:rPr>
          <w:rFonts w:hint="default" w:ascii="Times New Roman" w:hAnsi="Times New Roman" w:eastAsia="仿宋_GB2312" w:cs="仿宋_GB2312"/>
          <w:sz w:val="32"/>
          <w:szCs w:val="32"/>
          <w:lang w:val="en-US" w:eastAsia="zh-CN"/>
        </w:rPr>
        <w:t>加强农村集体“三资”管理</w:t>
      </w:r>
      <w:r>
        <w:rPr>
          <w:rFonts w:hint="eastAsia" w:ascii="Times New Roman" w:hAnsi="Times New Roman" w:eastAsia="仿宋_GB2312" w:cs="仿宋_GB2312"/>
          <w:sz w:val="32"/>
          <w:szCs w:val="32"/>
          <w:lang w:val="en-US" w:eastAsia="zh-CN"/>
        </w:rPr>
        <w:t>工作指导</w:t>
      </w:r>
      <w:r>
        <w:rPr>
          <w:rFonts w:hint="default" w:ascii="Times New Roman" w:hAnsi="Times New Roman" w:eastAsia="仿宋_GB2312" w:cs="仿宋_GB2312"/>
          <w:sz w:val="32"/>
          <w:szCs w:val="32"/>
          <w:lang w:val="en-US" w:eastAsia="zh-CN"/>
        </w:rPr>
        <w:t>，保障资金使用管理安全</w:t>
      </w:r>
      <w:r>
        <w:rPr>
          <w:rFonts w:hint="eastAsia" w:ascii="Times New Roman" w:hAnsi="Times New Roman" w:eastAsia="仿宋_GB2312" w:cs="仿宋_GB2312"/>
          <w:sz w:val="32"/>
          <w:szCs w:val="32"/>
          <w:lang w:val="en-US" w:eastAsia="zh-CN"/>
        </w:rPr>
        <w:t>；交易中心要会同发改、财政（国资）、住建、交通、农业农村、水务等有关部门，建立健全我市小额公共资源交易项目管理制度。</w:t>
      </w:r>
    </w:p>
    <w:p w14:paraId="4D5BDA66">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（九）实施多层次立体化监管。</w:t>
      </w:r>
      <w:r>
        <w:rPr>
          <w:rFonts w:hint="eastAsia" w:ascii="Times New Roman" w:hAnsi="Times New Roman" w:eastAsia="仿宋_GB2312" w:cs="仿宋_GB2312"/>
          <w:sz w:val="32"/>
          <w:szCs w:val="32"/>
          <w:lang w:val="en-US" w:eastAsia="zh-CN"/>
        </w:rPr>
        <w:t>推进招标投标领域突出问题整治工作，深化行纪监管协同贯通，落实行刑衔接相关工作。坚持落实公共资源交易领域涉嫌违纪违法犯罪问题线索移送工作机制，确保线索及时移送、案件高效查处、违法行为有效遏制。完善落实招标投标行政监督责任清单、标前标中标后全过程责任清单，实施全链条监管。加强招标投标与投资决策、履约管理、质量安全、竣工验收等环节的有机衔接，常态化开展交易项目、审批核准备案项目、施工许可备案项目等“三清单”核查比对工作，严查规避招标等违法违规情形。</w:t>
      </w:r>
    </w:p>
    <w:p w14:paraId="792B1CBA">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highlight w:val="none"/>
          <w:lang w:val="en-US" w:eastAsia="zh-CN"/>
        </w:rPr>
        <w:t>（十）强化标后监督管理。</w:t>
      </w:r>
      <w:r>
        <w:rPr>
          <w:rFonts w:hint="eastAsia" w:ascii="Times New Roman" w:hAnsi="Times New Roman" w:eastAsia="仿宋_GB2312" w:cs="仿宋_GB2312"/>
          <w:sz w:val="32"/>
          <w:szCs w:val="32"/>
          <w:lang w:val="en-US" w:eastAsia="zh-CN"/>
        </w:rPr>
        <w:t>深化交易市场与履约现场联动，落实合同履约“抽查+通报”工作机制。项目单位（招标人）是标后履约管理的第一责任人，对项目的标后履约监管工作全面负责，承担法定责任和义务，应按照合同约定对中标人履约情况实施跟踪考核、监督管理，并将参建单位在履约过程中的违法违规行为或不诚信履约行为报告行业主管部门和公共资源交易综合管理部门（以下简称“综合管理部门”）。</w:t>
      </w:r>
    </w:p>
    <w:p w14:paraId="7900AFEF">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按照“谁主管、谁负责”的原则，</w:t>
      </w:r>
      <w:r>
        <w:rPr>
          <w:rFonts w:hint="eastAsia" w:ascii="Times New Roman" w:hAnsi="Times New Roman" w:eastAsia="仿宋_GB2312" w:cs="仿宋_GB2312"/>
          <w:sz w:val="32"/>
          <w:szCs w:val="32"/>
          <w:highlight w:val="none"/>
          <w:lang w:val="en-US" w:eastAsia="zh-CN"/>
        </w:rPr>
        <w:t>财政（国资）、</w:t>
      </w:r>
      <w:r>
        <w:rPr>
          <w:rFonts w:hint="eastAsia" w:ascii="Times New Roman" w:hAnsi="Times New Roman" w:eastAsia="仿宋_GB2312" w:cs="仿宋_GB2312"/>
          <w:sz w:val="32"/>
          <w:szCs w:val="32"/>
          <w:lang w:val="en-US" w:eastAsia="zh-CN"/>
        </w:rPr>
        <w:t>住建、交通、农业农村、水务等各行业主管部门应强化对项目的日常监管，根据部门职能职责和行业政策规定，制定标后检查计划、明确履约检查内容，依法依规处理中标人在项目履约过程中存在的违法违规行为，处理意见共享至“智慧公管平台”。</w:t>
      </w:r>
    </w:p>
    <w:p w14:paraId="21A54CA5">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综合管理部门根据“智慧公管平台”预警提示和反馈情况，组织开展随机抽查，检查情况应抄送各相关单位，在监督检查中发现项目建设单位、施工单位及人员等标后违规违纪违法行为的，按照“谁主管、谁负责”原则移送相关部门依规依纪依法处理。</w:t>
      </w:r>
    </w:p>
    <w:p w14:paraId="473A7222">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各责任主体应充分运用“智慧公管平台”开展标后监管工作，录入项目进展、现场检查、问题督办等关键信息，发挥数字技术的赋能作用，提高标后监管质效。</w:t>
      </w:r>
    </w:p>
    <w:p w14:paraId="783935D6">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五、强化组织保障与协同联动</w:t>
      </w:r>
    </w:p>
    <w:p w14:paraId="5DBBAEB8">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eastAsia="zh-CN"/>
        </w:rPr>
        <w:t>十一</w:t>
      </w:r>
      <w:r>
        <w:rPr>
          <w:rFonts w:hint="default" w:ascii="楷体_GB2312" w:hAnsi="楷体_GB2312" w:eastAsia="楷体_GB2312" w:cs="楷体_GB2312"/>
          <w:b/>
          <w:bCs/>
          <w:sz w:val="32"/>
          <w:szCs w:val="32"/>
          <w:lang w:val="en-US" w:eastAsia="zh-CN"/>
        </w:rPr>
        <w:t>）加强</w:t>
      </w:r>
      <w:r>
        <w:rPr>
          <w:rFonts w:hint="eastAsia" w:ascii="楷体_GB2312" w:hAnsi="楷体_GB2312" w:eastAsia="楷体_GB2312" w:cs="楷体_GB2312"/>
          <w:b/>
          <w:bCs/>
          <w:sz w:val="32"/>
          <w:szCs w:val="32"/>
          <w:lang w:val="en-US" w:eastAsia="zh-CN"/>
        </w:rPr>
        <w:t>协同联动</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仿宋_GB2312"/>
          <w:sz w:val="32"/>
          <w:szCs w:val="32"/>
          <w:lang w:val="en-US" w:eastAsia="zh-CN"/>
        </w:rPr>
        <w:t>建立健全多部门联络会商</w:t>
      </w:r>
      <w:r>
        <w:rPr>
          <w:rFonts w:hint="default" w:ascii="Times New Roman" w:hAnsi="Times New Roman" w:eastAsia="仿宋_GB2312" w:cs="仿宋_GB2312"/>
          <w:sz w:val="32"/>
          <w:szCs w:val="32"/>
          <w:lang w:val="en-US" w:eastAsia="zh-CN"/>
        </w:rPr>
        <w:t>机制</w:t>
      </w:r>
      <w:r>
        <w:rPr>
          <w:rFonts w:hint="eastAsia" w:ascii="Times New Roman" w:hAnsi="Times New Roman" w:eastAsia="仿宋_GB2312" w:cs="仿宋_GB2312"/>
          <w:sz w:val="32"/>
          <w:szCs w:val="32"/>
          <w:lang w:val="en-US" w:eastAsia="zh-CN"/>
        </w:rPr>
        <w:t>，发改、科工、公安、财政（国资）、自然资源和规划、住建、交通、农业农村、水务、文化旅游、卫生健康、市场监管、林业、医疗保障、城市管理、数据资源管理等有关部门应依据法定职责，加强对公共资源交易活动的监督管理，</w:t>
      </w:r>
      <w:r>
        <w:rPr>
          <w:rFonts w:hint="default" w:ascii="Times New Roman" w:hAnsi="Times New Roman" w:eastAsia="仿宋_GB2312" w:cs="仿宋_GB2312"/>
          <w:sz w:val="32"/>
          <w:szCs w:val="32"/>
          <w:lang w:val="en-US" w:eastAsia="zh-CN"/>
        </w:rPr>
        <w:t>对创新完善公共资源交易全生命周期</w:t>
      </w:r>
      <w:r>
        <w:rPr>
          <w:rFonts w:hint="eastAsia" w:ascii="Times New Roman" w:hAnsi="Times New Roman" w:eastAsia="仿宋_GB2312" w:cs="仿宋_GB2312"/>
          <w:sz w:val="32"/>
          <w:szCs w:val="32"/>
          <w:lang w:val="en-US" w:eastAsia="zh-CN"/>
        </w:rPr>
        <w:t>监管</w:t>
      </w:r>
      <w:r>
        <w:rPr>
          <w:rFonts w:hint="default" w:ascii="Times New Roman" w:hAnsi="Times New Roman" w:eastAsia="仿宋_GB2312" w:cs="仿宋_GB2312"/>
          <w:sz w:val="32"/>
          <w:szCs w:val="32"/>
          <w:lang w:val="en-US" w:eastAsia="zh-CN"/>
        </w:rPr>
        <w:t>工作中的重大问题进行研究、协调和优化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把市委、市政府统一决策部署贯彻到推动公共资源交易市场健康规范发展各领域全过程。</w:t>
      </w:r>
    </w:p>
    <w:p w14:paraId="7326335C">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（十二）统筹协调推进。</w:t>
      </w:r>
      <w:r>
        <w:rPr>
          <w:rFonts w:hint="eastAsia" w:ascii="Times New Roman" w:hAnsi="Times New Roman" w:eastAsia="仿宋_GB2312" w:cs="仿宋_GB2312"/>
          <w:sz w:val="32"/>
          <w:szCs w:val="32"/>
          <w:lang w:val="en-US" w:eastAsia="zh-CN"/>
        </w:rPr>
        <w:t>各行业主管部门、相关职能部门要根据职责细化任务清单，健全归口管理和监督责任的推进机制，督促招标人严格履行主体责任。财政、数据资源管理等部门加大“人工智能+招标投标”领域支持力度，综合管理部门、交易中心要聚焦提升交易监管、服务水平，加快数智化转型，加强统筹协调，及时提请会商、通报晾晒，推进工作落实。</w:t>
      </w:r>
    </w:p>
    <w:p w14:paraId="766217ED">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Times New Roman" w:hAnsi="Times New Roman" w:eastAsia="仿宋_GB2312" w:cs="仿宋_GB2312"/>
          <w:sz w:val="32"/>
          <w:szCs w:val="32"/>
          <w:highlight w:val="none"/>
          <w:shd w:val="clear" w:color="auto" w:fill="auto"/>
          <w:lang w:val="en-US" w:eastAsia="zh-CN"/>
        </w:rPr>
      </w:pPr>
      <w:r>
        <w:rPr>
          <w:rFonts w:hint="eastAsia" w:ascii="楷体_GB2312" w:hAnsi="楷体_GB2312" w:eastAsia="楷体_GB2312" w:cs="楷体_GB2312"/>
          <w:b/>
          <w:bCs/>
          <w:sz w:val="32"/>
          <w:szCs w:val="32"/>
          <w:highlight w:val="none"/>
          <w:shd w:val="clear" w:color="auto" w:fill="auto"/>
          <w:lang w:val="en-US" w:eastAsia="zh-CN"/>
        </w:rPr>
        <w:t>（</w:t>
      </w:r>
      <w:r>
        <w:rPr>
          <w:rFonts w:hint="eastAsia" w:ascii="楷体_GB2312" w:hAnsi="楷体_GB2312" w:eastAsia="楷体_GB2312" w:cs="楷体_GB2312"/>
          <w:b/>
          <w:bCs/>
          <w:sz w:val="32"/>
          <w:szCs w:val="32"/>
          <w:lang w:val="en-US" w:eastAsia="zh-CN"/>
        </w:rPr>
        <w:t>十三</w:t>
      </w:r>
      <w:r>
        <w:rPr>
          <w:rFonts w:hint="eastAsia" w:ascii="楷体_GB2312" w:hAnsi="楷体_GB2312" w:eastAsia="楷体_GB2312" w:cs="楷体_GB2312"/>
          <w:b/>
          <w:bCs/>
          <w:sz w:val="32"/>
          <w:szCs w:val="32"/>
          <w:highlight w:val="none"/>
          <w:shd w:val="clear" w:color="auto" w:fill="auto"/>
          <w:lang w:val="en-US" w:eastAsia="zh-CN"/>
        </w:rPr>
        <w:t>）压实监管责任。</w:t>
      </w:r>
      <w:r>
        <w:rPr>
          <w:rFonts w:hint="eastAsia" w:ascii="Times New Roman" w:hAnsi="Times New Roman" w:eastAsia="仿宋_GB2312" w:cs="仿宋_GB2312"/>
          <w:sz w:val="32"/>
          <w:szCs w:val="32"/>
          <w:highlight w:val="none"/>
          <w:shd w:val="clear" w:color="auto" w:fill="auto"/>
          <w:lang w:val="en-US" w:eastAsia="zh-CN"/>
        </w:rPr>
        <w:t>在公共资源交易活动中，综合管理部门发现招标人、行业主管部门履职不到位的，应通过</w:t>
      </w:r>
      <w:r>
        <w:rPr>
          <w:rFonts w:hint="eastAsia" w:ascii="Times New Roman" w:hAnsi="Times New Roman" w:eastAsia="仿宋_GB2312" w:cs="仿宋_GB2312"/>
          <w:sz w:val="32"/>
          <w:szCs w:val="32"/>
          <w:lang w:val="en-US" w:eastAsia="zh-CN"/>
        </w:rPr>
        <w:t>“智慧公管平台”</w:t>
      </w:r>
      <w:r>
        <w:rPr>
          <w:rFonts w:hint="eastAsia" w:ascii="Times New Roman" w:hAnsi="Times New Roman" w:eastAsia="仿宋_GB2312" w:cs="仿宋_GB2312"/>
          <w:sz w:val="32"/>
          <w:szCs w:val="32"/>
          <w:highlight w:val="none"/>
          <w:shd w:val="clear" w:color="auto" w:fill="auto"/>
          <w:lang w:val="en-US" w:eastAsia="zh-CN"/>
        </w:rPr>
        <w:t>或其他渠道对其督促提醒。综合管理部门、行业主管部门及其工作人员未正确履行监管职责的，依规依纪依法严肃追究责任。监察机关依法对与公共资源交易活动有关的监察对象实施监察。</w:t>
      </w:r>
    </w:p>
    <w:p w14:paraId="76CF71CE">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本实施意见自2026年  月  日起施行。</w:t>
      </w:r>
    </w:p>
    <w:sectPr>
      <w:footerReference r:id="rId3" w:type="default"/>
      <w:pgSz w:w="11906" w:h="16838"/>
      <w:pgMar w:top="1956" w:right="1474" w:bottom="1843"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4C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83F5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83F53">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0D77"/>
    <w:rsid w:val="022B421F"/>
    <w:rsid w:val="02847D50"/>
    <w:rsid w:val="028A2234"/>
    <w:rsid w:val="03283EB6"/>
    <w:rsid w:val="035249EB"/>
    <w:rsid w:val="03984530"/>
    <w:rsid w:val="03C00E0B"/>
    <w:rsid w:val="03DD3BE6"/>
    <w:rsid w:val="03F139E0"/>
    <w:rsid w:val="04203DD5"/>
    <w:rsid w:val="045E497C"/>
    <w:rsid w:val="04984319"/>
    <w:rsid w:val="04C602E0"/>
    <w:rsid w:val="04CF30C5"/>
    <w:rsid w:val="05300538"/>
    <w:rsid w:val="055A5917"/>
    <w:rsid w:val="05EE58DC"/>
    <w:rsid w:val="063B031E"/>
    <w:rsid w:val="064902F6"/>
    <w:rsid w:val="06AB4159"/>
    <w:rsid w:val="06B32E2B"/>
    <w:rsid w:val="06B33330"/>
    <w:rsid w:val="06B47371"/>
    <w:rsid w:val="07005D6D"/>
    <w:rsid w:val="070D3E0E"/>
    <w:rsid w:val="07854B6B"/>
    <w:rsid w:val="079C318F"/>
    <w:rsid w:val="07A27FE0"/>
    <w:rsid w:val="07C23831"/>
    <w:rsid w:val="081E0B1B"/>
    <w:rsid w:val="08520FAA"/>
    <w:rsid w:val="088200BE"/>
    <w:rsid w:val="0892023E"/>
    <w:rsid w:val="08C11A65"/>
    <w:rsid w:val="08D67FF7"/>
    <w:rsid w:val="08EF344C"/>
    <w:rsid w:val="09206594"/>
    <w:rsid w:val="092600E8"/>
    <w:rsid w:val="09B90B7A"/>
    <w:rsid w:val="0A1F3C01"/>
    <w:rsid w:val="0A616013"/>
    <w:rsid w:val="0AA35960"/>
    <w:rsid w:val="0B314F08"/>
    <w:rsid w:val="0C3D1AC7"/>
    <w:rsid w:val="0C4548C9"/>
    <w:rsid w:val="0C73389D"/>
    <w:rsid w:val="0CB71D6A"/>
    <w:rsid w:val="0CBC3C58"/>
    <w:rsid w:val="0CF7598A"/>
    <w:rsid w:val="0D7D5303"/>
    <w:rsid w:val="0DC444A6"/>
    <w:rsid w:val="0E260767"/>
    <w:rsid w:val="0F446400"/>
    <w:rsid w:val="0F535014"/>
    <w:rsid w:val="0FA32305"/>
    <w:rsid w:val="0FCA5F20"/>
    <w:rsid w:val="10D80401"/>
    <w:rsid w:val="11322E11"/>
    <w:rsid w:val="119C1D49"/>
    <w:rsid w:val="11D74F5A"/>
    <w:rsid w:val="11E4732B"/>
    <w:rsid w:val="124E2774"/>
    <w:rsid w:val="129B5227"/>
    <w:rsid w:val="1303405F"/>
    <w:rsid w:val="13620C14"/>
    <w:rsid w:val="13BF37D0"/>
    <w:rsid w:val="141A034E"/>
    <w:rsid w:val="142E282B"/>
    <w:rsid w:val="147232CA"/>
    <w:rsid w:val="14B91684"/>
    <w:rsid w:val="14DD669C"/>
    <w:rsid w:val="15381D5C"/>
    <w:rsid w:val="153C05AD"/>
    <w:rsid w:val="15744B16"/>
    <w:rsid w:val="15C14F7E"/>
    <w:rsid w:val="15D064C6"/>
    <w:rsid w:val="15F51C7C"/>
    <w:rsid w:val="160A05AB"/>
    <w:rsid w:val="164B0622"/>
    <w:rsid w:val="16AE673D"/>
    <w:rsid w:val="16D75892"/>
    <w:rsid w:val="172D4C1E"/>
    <w:rsid w:val="17316E86"/>
    <w:rsid w:val="173C5B17"/>
    <w:rsid w:val="174C5B4A"/>
    <w:rsid w:val="174E6D99"/>
    <w:rsid w:val="175E59AD"/>
    <w:rsid w:val="179F1046"/>
    <w:rsid w:val="17FD24FB"/>
    <w:rsid w:val="17FD3388"/>
    <w:rsid w:val="1811250D"/>
    <w:rsid w:val="18816F98"/>
    <w:rsid w:val="18892645"/>
    <w:rsid w:val="18B715B0"/>
    <w:rsid w:val="18E23D8D"/>
    <w:rsid w:val="193E7801"/>
    <w:rsid w:val="193F2E4D"/>
    <w:rsid w:val="195328FF"/>
    <w:rsid w:val="198C0AC2"/>
    <w:rsid w:val="1A2B7B25"/>
    <w:rsid w:val="1A312D41"/>
    <w:rsid w:val="1A5C2E71"/>
    <w:rsid w:val="1A700F33"/>
    <w:rsid w:val="1ABF16F8"/>
    <w:rsid w:val="1B1262BE"/>
    <w:rsid w:val="1B6537DF"/>
    <w:rsid w:val="1B7D1804"/>
    <w:rsid w:val="1B90229E"/>
    <w:rsid w:val="1BA87782"/>
    <w:rsid w:val="1BEF7064"/>
    <w:rsid w:val="1C142509"/>
    <w:rsid w:val="1C3C0B06"/>
    <w:rsid w:val="1C4F223F"/>
    <w:rsid w:val="1C7F3050"/>
    <w:rsid w:val="1CE558D9"/>
    <w:rsid w:val="1D2C5CCF"/>
    <w:rsid w:val="1D462856"/>
    <w:rsid w:val="1D483B5E"/>
    <w:rsid w:val="1D551DAF"/>
    <w:rsid w:val="1D8C3B4E"/>
    <w:rsid w:val="1DA11AB4"/>
    <w:rsid w:val="1DB21FDA"/>
    <w:rsid w:val="1DED176D"/>
    <w:rsid w:val="1DF8470D"/>
    <w:rsid w:val="1DF859BA"/>
    <w:rsid w:val="1E483440"/>
    <w:rsid w:val="1EEE6D86"/>
    <w:rsid w:val="1F110C29"/>
    <w:rsid w:val="1FCD1466"/>
    <w:rsid w:val="203320C9"/>
    <w:rsid w:val="20437B7C"/>
    <w:rsid w:val="20705FE8"/>
    <w:rsid w:val="20A172D7"/>
    <w:rsid w:val="20E54E52"/>
    <w:rsid w:val="20F075D0"/>
    <w:rsid w:val="21315582"/>
    <w:rsid w:val="214C4249"/>
    <w:rsid w:val="2154483D"/>
    <w:rsid w:val="215613E3"/>
    <w:rsid w:val="219E0135"/>
    <w:rsid w:val="21AD0DAA"/>
    <w:rsid w:val="21C1390C"/>
    <w:rsid w:val="227F5EEA"/>
    <w:rsid w:val="228274AE"/>
    <w:rsid w:val="22DF5178"/>
    <w:rsid w:val="230304F3"/>
    <w:rsid w:val="230D5DF3"/>
    <w:rsid w:val="233C31B9"/>
    <w:rsid w:val="23630647"/>
    <w:rsid w:val="236458A5"/>
    <w:rsid w:val="23E30A2C"/>
    <w:rsid w:val="23F07364"/>
    <w:rsid w:val="243A0633"/>
    <w:rsid w:val="244D3AA7"/>
    <w:rsid w:val="24561911"/>
    <w:rsid w:val="24756A82"/>
    <w:rsid w:val="24B4327F"/>
    <w:rsid w:val="24DB4284"/>
    <w:rsid w:val="24E3649B"/>
    <w:rsid w:val="250906E4"/>
    <w:rsid w:val="25446CB1"/>
    <w:rsid w:val="25CA498C"/>
    <w:rsid w:val="25E73406"/>
    <w:rsid w:val="25E92761"/>
    <w:rsid w:val="25F6165A"/>
    <w:rsid w:val="26286449"/>
    <w:rsid w:val="27374C98"/>
    <w:rsid w:val="283424E8"/>
    <w:rsid w:val="28B37A7B"/>
    <w:rsid w:val="28BD1316"/>
    <w:rsid w:val="29244385"/>
    <w:rsid w:val="299E17D8"/>
    <w:rsid w:val="29C26277"/>
    <w:rsid w:val="29C8712B"/>
    <w:rsid w:val="29E34BF0"/>
    <w:rsid w:val="2A2E39EF"/>
    <w:rsid w:val="2AD95059"/>
    <w:rsid w:val="2AE57BCE"/>
    <w:rsid w:val="2B76531F"/>
    <w:rsid w:val="2B8354F2"/>
    <w:rsid w:val="2B8C333B"/>
    <w:rsid w:val="2B9601FE"/>
    <w:rsid w:val="2BA805E3"/>
    <w:rsid w:val="2BC17555"/>
    <w:rsid w:val="2BFA7121"/>
    <w:rsid w:val="2C1C2133"/>
    <w:rsid w:val="2C3D4357"/>
    <w:rsid w:val="2D366295"/>
    <w:rsid w:val="2DA31D38"/>
    <w:rsid w:val="2DB80830"/>
    <w:rsid w:val="2DC649D7"/>
    <w:rsid w:val="2DF52CAD"/>
    <w:rsid w:val="2EF74361"/>
    <w:rsid w:val="2F1E0896"/>
    <w:rsid w:val="2F755C5C"/>
    <w:rsid w:val="2F9A7E4E"/>
    <w:rsid w:val="2FA5723B"/>
    <w:rsid w:val="301F7FE1"/>
    <w:rsid w:val="30D245A8"/>
    <w:rsid w:val="30DD4D3A"/>
    <w:rsid w:val="314A6170"/>
    <w:rsid w:val="31665B97"/>
    <w:rsid w:val="31E51AD3"/>
    <w:rsid w:val="31EC42E2"/>
    <w:rsid w:val="322701D4"/>
    <w:rsid w:val="32272672"/>
    <w:rsid w:val="3244559C"/>
    <w:rsid w:val="325710A7"/>
    <w:rsid w:val="32B63081"/>
    <w:rsid w:val="32E721E8"/>
    <w:rsid w:val="32FD4A2E"/>
    <w:rsid w:val="330E785B"/>
    <w:rsid w:val="33D939C5"/>
    <w:rsid w:val="33EC20BE"/>
    <w:rsid w:val="34087FB3"/>
    <w:rsid w:val="34565511"/>
    <w:rsid w:val="348F18C7"/>
    <w:rsid w:val="34CA3C3E"/>
    <w:rsid w:val="34FB4185"/>
    <w:rsid w:val="353F145D"/>
    <w:rsid w:val="35C3600A"/>
    <w:rsid w:val="35D87818"/>
    <w:rsid w:val="361A34D8"/>
    <w:rsid w:val="36AE2DBE"/>
    <w:rsid w:val="374759BA"/>
    <w:rsid w:val="37622082"/>
    <w:rsid w:val="37A92DDE"/>
    <w:rsid w:val="37D108DD"/>
    <w:rsid w:val="38255CB5"/>
    <w:rsid w:val="38324B63"/>
    <w:rsid w:val="38F6538A"/>
    <w:rsid w:val="390F0AF7"/>
    <w:rsid w:val="391D5685"/>
    <w:rsid w:val="393A7BD1"/>
    <w:rsid w:val="39410785"/>
    <w:rsid w:val="3959779B"/>
    <w:rsid w:val="39895E24"/>
    <w:rsid w:val="39BB287B"/>
    <w:rsid w:val="39D6458D"/>
    <w:rsid w:val="3A0D4A9E"/>
    <w:rsid w:val="3A350010"/>
    <w:rsid w:val="3A950A1A"/>
    <w:rsid w:val="3ACE28A4"/>
    <w:rsid w:val="3C547FE6"/>
    <w:rsid w:val="3C5D0B76"/>
    <w:rsid w:val="3CE232BF"/>
    <w:rsid w:val="3D5F3681"/>
    <w:rsid w:val="3DB643D5"/>
    <w:rsid w:val="3E094DC1"/>
    <w:rsid w:val="3E154DAD"/>
    <w:rsid w:val="3ED05615"/>
    <w:rsid w:val="3EDE79C6"/>
    <w:rsid w:val="3EE72240"/>
    <w:rsid w:val="3EF15B9A"/>
    <w:rsid w:val="3F1C1A5E"/>
    <w:rsid w:val="3F6367D4"/>
    <w:rsid w:val="400D46DC"/>
    <w:rsid w:val="40334EC3"/>
    <w:rsid w:val="40473708"/>
    <w:rsid w:val="409A53CD"/>
    <w:rsid w:val="40A86BF9"/>
    <w:rsid w:val="40B61D20"/>
    <w:rsid w:val="4168454F"/>
    <w:rsid w:val="41C77552"/>
    <w:rsid w:val="42187DAE"/>
    <w:rsid w:val="42D75D0A"/>
    <w:rsid w:val="43E1775F"/>
    <w:rsid w:val="43EA4AF7"/>
    <w:rsid w:val="43FA07B2"/>
    <w:rsid w:val="442B10C1"/>
    <w:rsid w:val="442C5034"/>
    <w:rsid w:val="442F62DC"/>
    <w:rsid w:val="443D1D4E"/>
    <w:rsid w:val="44D32F2E"/>
    <w:rsid w:val="45F4304A"/>
    <w:rsid w:val="45FA3793"/>
    <w:rsid w:val="4634656F"/>
    <w:rsid w:val="466622E2"/>
    <w:rsid w:val="46CF7F85"/>
    <w:rsid w:val="4700508A"/>
    <w:rsid w:val="47B86A37"/>
    <w:rsid w:val="47E61E6B"/>
    <w:rsid w:val="48547F3A"/>
    <w:rsid w:val="487B279C"/>
    <w:rsid w:val="48A014D2"/>
    <w:rsid w:val="49107F49"/>
    <w:rsid w:val="493E611B"/>
    <w:rsid w:val="49421D13"/>
    <w:rsid w:val="494B470E"/>
    <w:rsid w:val="496A2251"/>
    <w:rsid w:val="496D15BB"/>
    <w:rsid w:val="49D43CA5"/>
    <w:rsid w:val="4A253068"/>
    <w:rsid w:val="4A64571C"/>
    <w:rsid w:val="4A687A58"/>
    <w:rsid w:val="4AD63A00"/>
    <w:rsid w:val="4B0502F8"/>
    <w:rsid w:val="4B074D0A"/>
    <w:rsid w:val="4B1035EC"/>
    <w:rsid w:val="4B21533E"/>
    <w:rsid w:val="4B621EE9"/>
    <w:rsid w:val="4B822D82"/>
    <w:rsid w:val="4BBD50A2"/>
    <w:rsid w:val="4BE951BF"/>
    <w:rsid w:val="4BFB4538"/>
    <w:rsid w:val="4C1B77CB"/>
    <w:rsid w:val="4C29372D"/>
    <w:rsid w:val="4C34073F"/>
    <w:rsid w:val="4C3F4944"/>
    <w:rsid w:val="4CB01B1D"/>
    <w:rsid w:val="4D23010D"/>
    <w:rsid w:val="4D41311B"/>
    <w:rsid w:val="4D5828E6"/>
    <w:rsid w:val="4D8C5B56"/>
    <w:rsid w:val="4D9100CC"/>
    <w:rsid w:val="4DBC268E"/>
    <w:rsid w:val="4DCD5698"/>
    <w:rsid w:val="4DE7478D"/>
    <w:rsid w:val="4E043536"/>
    <w:rsid w:val="4E642030"/>
    <w:rsid w:val="4E662A77"/>
    <w:rsid w:val="4E7860AE"/>
    <w:rsid w:val="4F1E5158"/>
    <w:rsid w:val="4F1F055D"/>
    <w:rsid w:val="4F40694F"/>
    <w:rsid w:val="50715CFC"/>
    <w:rsid w:val="507C292D"/>
    <w:rsid w:val="50C72411"/>
    <w:rsid w:val="51254D76"/>
    <w:rsid w:val="51BE7958"/>
    <w:rsid w:val="52AA3209"/>
    <w:rsid w:val="53016AFF"/>
    <w:rsid w:val="53085B8C"/>
    <w:rsid w:val="532114DA"/>
    <w:rsid w:val="54603424"/>
    <w:rsid w:val="54874A91"/>
    <w:rsid w:val="551D779F"/>
    <w:rsid w:val="555073B2"/>
    <w:rsid w:val="55774444"/>
    <w:rsid w:val="55B677CF"/>
    <w:rsid w:val="56382C15"/>
    <w:rsid w:val="56774B21"/>
    <w:rsid w:val="56C455EA"/>
    <w:rsid w:val="56C66309"/>
    <w:rsid w:val="571804ED"/>
    <w:rsid w:val="573945F7"/>
    <w:rsid w:val="57840FDF"/>
    <w:rsid w:val="57895FA1"/>
    <w:rsid w:val="578C2F73"/>
    <w:rsid w:val="584B50E1"/>
    <w:rsid w:val="585B4D73"/>
    <w:rsid w:val="585E2792"/>
    <w:rsid w:val="588405E8"/>
    <w:rsid w:val="58F54B61"/>
    <w:rsid w:val="594E7013"/>
    <w:rsid w:val="59702B9F"/>
    <w:rsid w:val="59DC574A"/>
    <w:rsid w:val="59DF0634"/>
    <w:rsid w:val="5A48378E"/>
    <w:rsid w:val="5AC5005A"/>
    <w:rsid w:val="5AE64A92"/>
    <w:rsid w:val="5B1024F7"/>
    <w:rsid w:val="5B1473CB"/>
    <w:rsid w:val="5B317A04"/>
    <w:rsid w:val="5B46249B"/>
    <w:rsid w:val="5B633796"/>
    <w:rsid w:val="5B781D8E"/>
    <w:rsid w:val="5B7D1826"/>
    <w:rsid w:val="5BEC600D"/>
    <w:rsid w:val="5C484BB0"/>
    <w:rsid w:val="5C803E9A"/>
    <w:rsid w:val="5C8B06D6"/>
    <w:rsid w:val="5C977AF5"/>
    <w:rsid w:val="5C9C2725"/>
    <w:rsid w:val="5CE840CF"/>
    <w:rsid w:val="5CFA57A7"/>
    <w:rsid w:val="5CFB5F82"/>
    <w:rsid w:val="5D2316E3"/>
    <w:rsid w:val="5D947506"/>
    <w:rsid w:val="5DB15F43"/>
    <w:rsid w:val="5DDA4310"/>
    <w:rsid w:val="5E446DAA"/>
    <w:rsid w:val="5E4F4700"/>
    <w:rsid w:val="5EA15220"/>
    <w:rsid w:val="5EB44FFF"/>
    <w:rsid w:val="5EE17D56"/>
    <w:rsid w:val="5F274419"/>
    <w:rsid w:val="5F451484"/>
    <w:rsid w:val="5FDC0A80"/>
    <w:rsid w:val="5FE076F5"/>
    <w:rsid w:val="60681978"/>
    <w:rsid w:val="606B19BF"/>
    <w:rsid w:val="60B56A6C"/>
    <w:rsid w:val="60BF2850"/>
    <w:rsid w:val="60CB0EF1"/>
    <w:rsid w:val="60EC26DA"/>
    <w:rsid w:val="60EC6236"/>
    <w:rsid w:val="610572F8"/>
    <w:rsid w:val="617B3D7A"/>
    <w:rsid w:val="619E0A6E"/>
    <w:rsid w:val="61DC7271"/>
    <w:rsid w:val="621D4712"/>
    <w:rsid w:val="6270290A"/>
    <w:rsid w:val="62877788"/>
    <w:rsid w:val="628C18F9"/>
    <w:rsid w:val="62BC1CA7"/>
    <w:rsid w:val="63081A0C"/>
    <w:rsid w:val="63095B0B"/>
    <w:rsid w:val="630A191C"/>
    <w:rsid w:val="63204905"/>
    <w:rsid w:val="63FE3A57"/>
    <w:rsid w:val="644E3D19"/>
    <w:rsid w:val="645E7A99"/>
    <w:rsid w:val="64DE6308"/>
    <w:rsid w:val="65005685"/>
    <w:rsid w:val="65674A25"/>
    <w:rsid w:val="656868EF"/>
    <w:rsid w:val="659E2FB2"/>
    <w:rsid w:val="65A26342"/>
    <w:rsid w:val="65D36FCE"/>
    <w:rsid w:val="65DC58A7"/>
    <w:rsid w:val="66292E88"/>
    <w:rsid w:val="662D1145"/>
    <w:rsid w:val="663A2D5F"/>
    <w:rsid w:val="66DB373E"/>
    <w:rsid w:val="672F0459"/>
    <w:rsid w:val="67542D87"/>
    <w:rsid w:val="678F70B0"/>
    <w:rsid w:val="67B6134C"/>
    <w:rsid w:val="68064496"/>
    <w:rsid w:val="688B560A"/>
    <w:rsid w:val="68ED540D"/>
    <w:rsid w:val="6908045D"/>
    <w:rsid w:val="691D2203"/>
    <w:rsid w:val="69252E07"/>
    <w:rsid w:val="693C5D1A"/>
    <w:rsid w:val="6A8A71EB"/>
    <w:rsid w:val="6B2113AF"/>
    <w:rsid w:val="6BC90CE4"/>
    <w:rsid w:val="6BFD3031"/>
    <w:rsid w:val="6C010CC1"/>
    <w:rsid w:val="6C556000"/>
    <w:rsid w:val="6CA17906"/>
    <w:rsid w:val="6D1303A1"/>
    <w:rsid w:val="6D2B3C26"/>
    <w:rsid w:val="6D4E76D6"/>
    <w:rsid w:val="6D8B4F45"/>
    <w:rsid w:val="6E4005D6"/>
    <w:rsid w:val="6EB96EBE"/>
    <w:rsid w:val="6EDA5B74"/>
    <w:rsid w:val="6EE13A52"/>
    <w:rsid w:val="6F022C2C"/>
    <w:rsid w:val="70342CA5"/>
    <w:rsid w:val="70815207"/>
    <w:rsid w:val="70B23EFE"/>
    <w:rsid w:val="70E62CA2"/>
    <w:rsid w:val="70ED3014"/>
    <w:rsid w:val="71161E54"/>
    <w:rsid w:val="712A1EC6"/>
    <w:rsid w:val="71527034"/>
    <w:rsid w:val="7194022F"/>
    <w:rsid w:val="71F63BD2"/>
    <w:rsid w:val="729B5045"/>
    <w:rsid w:val="72DE3E20"/>
    <w:rsid w:val="736306C1"/>
    <w:rsid w:val="7384533A"/>
    <w:rsid w:val="73907A80"/>
    <w:rsid w:val="73950618"/>
    <w:rsid w:val="73C933CD"/>
    <w:rsid w:val="73F7392D"/>
    <w:rsid w:val="741373FD"/>
    <w:rsid w:val="741A439D"/>
    <w:rsid w:val="74367A9C"/>
    <w:rsid w:val="74E12691"/>
    <w:rsid w:val="74EE0065"/>
    <w:rsid w:val="75690D5E"/>
    <w:rsid w:val="75A73E53"/>
    <w:rsid w:val="76375F01"/>
    <w:rsid w:val="765D256A"/>
    <w:rsid w:val="76AC2297"/>
    <w:rsid w:val="7772733B"/>
    <w:rsid w:val="78DD4819"/>
    <w:rsid w:val="78F93744"/>
    <w:rsid w:val="793A00CE"/>
    <w:rsid w:val="79522E9F"/>
    <w:rsid w:val="796022B3"/>
    <w:rsid w:val="79BD7D86"/>
    <w:rsid w:val="79D3566F"/>
    <w:rsid w:val="7A0E3DB4"/>
    <w:rsid w:val="7A105888"/>
    <w:rsid w:val="7B0B7F4F"/>
    <w:rsid w:val="7B1758D3"/>
    <w:rsid w:val="7B181FCA"/>
    <w:rsid w:val="7B7956A0"/>
    <w:rsid w:val="7BCA7EB6"/>
    <w:rsid w:val="7BF810B6"/>
    <w:rsid w:val="7C9270F2"/>
    <w:rsid w:val="7CCB62A2"/>
    <w:rsid w:val="7CDD56FA"/>
    <w:rsid w:val="7D212649"/>
    <w:rsid w:val="7D572929"/>
    <w:rsid w:val="7D8D19F8"/>
    <w:rsid w:val="7DA5381E"/>
    <w:rsid w:val="7E3B2826"/>
    <w:rsid w:val="7E5E1385"/>
    <w:rsid w:val="7EAD39F1"/>
    <w:rsid w:val="7EEF366A"/>
    <w:rsid w:val="7F461B7D"/>
    <w:rsid w:val="7FBA441B"/>
    <w:rsid w:val="7FF0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3591</Words>
  <Characters>3607</Characters>
  <Lines>0</Lines>
  <Paragraphs>0</Paragraphs>
  <TotalTime>238</TotalTime>
  <ScaleCrop>false</ScaleCrop>
  <LinksUpToDate>false</LinksUpToDate>
  <CharactersWithSpaces>3607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2025-04-22T03:13:00Z</dcterms:created>
  <dc:creator>123</dc:creator>
  <cp:lastModifiedBy>桐城</cp:lastModifiedBy>
  <cp:lastPrinted>2026-06-05T02:12:00Z</cp:lastPrinted>
  <dcterms:modified xsi:type="dcterms:W3CDTF">2026-06-05T08:43:49Z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7CB1844E1DA54552A3FC48D9A4C15E17_13</vt:lpwstr>
  </property>
  <property fmtid="{D5CDD505-2E9C-101B-9397-08002B2CF9AE}" pid="4" name="KSOTemplateDocerSaveRecord">
    <vt:lpwstr>eyJoZGlkIjoiODBhZDY3YTM2N2IyYTYwZDlhMGNmZmIzNmE0Mzc0NzAiLCJ1c2VySWQiOiIyODA1NTU1MjIifQ==</vt:lpwstr>
  </property>
</Properties>
</file>